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8995D" w14:textId="77777777" w:rsidR="00665F29" w:rsidRDefault="00665F29" w:rsidP="00805E69">
      <w:pPr>
        <w:pStyle w:val="Heading1"/>
        <w:spacing w:before="0" w:after="0" w:line="240" w:lineRule="auto"/>
        <w:jc w:val="center"/>
        <w:rPr>
          <w:rFonts w:ascii="Interstate BlackCond" w:hAnsi="Interstate BlackCond"/>
          <w:sz w:val="44"/>
          <w:szCs w:val="44"/>
          <w:lang w:val="es-AR"/>
        </w:rPr>
      </w:pPr>
      <w:r w:rsidRPr="00665F29">
        <w:rPr>
          <w:rFonts w:ascii="Interstate BlackCond" w:hAnsi="Interstate BlackCond"/>
          <w:sz w:val="44"/>
          <w:szCs w:val="44"/>
          <w:lang w:val="es-AR"/>
        </w:rPr>
        <w:t>PROYECCIONES PUBLICITARIAS DE MAGNA</w:t>
      </w:r>
    </w:p>
    <w:p w14:paraId="5F78DEE4" w14:textId="4ED3502C" w:rsidR="004B4156" w:rsidRPr="00665F29" w:rsidRDefault="00665F29" w:rsidP="00805E69">
      <w:pPr>
        <w:pStyle w:val="Heading1"/>
        <w:spacing w:before="0" w:after="0" w:line="240" w:lineRule="auto"/>
        <w:jc w:val="center"/>
        <w:rPr>
          <w:rFonts w:ascii="Interstate BlackCond" w:hAnsi="Interstate BlackCond"/>
          <w:sz w:val="44"/>
          <w:szCs w:val="44"/>
          <w:lang w:val="es-AR"/>
        </w:rPr>
      </w:pPr>
      <w:r>
        <w:rPr>
          <w:rFonts w:ascii="Interstate BlackCond" w:hAnsi="Interstate BlackCond"/>
          <w:sz w:val="44"/>
          <w:szCs w:val="44"/>
          <w:lang w:val="es-AR"/>
        </w:rPr>
        <w:t xml:space="preserve">EDICIÓN </w:t>
      </w:r>
      <w:r w:rsidR="00CA67F6">
        <w:rPr>
          <w:rFonts w:ascii="Interstate BlackCond" w:hAnsi="Interstate BlackCond"/>
          <w:sz w:val="44"/>
          <w:szCs w:val="44"/>
          <w:lang w:val="es-AR"/>
        </w:rPr>
        <w:t>INVIERNO</w:t>
      </w:r>
      <w:r>
        <w:rPr>
          <w:rFonts w:ascii="Interstate BlackCond" w:hAnsi="Interstate BlackCond"/>
          <w:sz w:val="44"/>
          <w:szCs w:val="44"/>
          <w:lang w:val="es-AR"/>
        </w:rPr>
        <w:t xml:space="preserve"> </w:t>
      </w:r>
      <w:r w:rsidR="004B4156" w:rsidRPr="00665F29">
        <w:rPr>
          <w:rFonts w:ascii="Interstate BlackCond" w:hAnsi="Interstate BlackCond"/>
          <w:sz w:val="44"/>
          <w:szCs w:val="44"/>
          <w:lang w:val="es-AR"/>
        </w:rPr>
        <w:t>(</w:t>
      </w:r>
      <w:r>
        <w:rPr>
          <w:rFonts w:ascii="Interstate BlackCond" w:hAnsi="Interstate BlackCond"/>
          <w:sz w:val="44"/>
          <w:szCs w:val="44"/>
          <w:lang w:val="es-AR"/>
        </w:rPr>
        <w:t xml:space="preserve">4 DIC </w:t>
      </w:r>
      <w:r w:rsidR="004B4156" w:rsidRPr="00665F29">
        <w:rPr>
          <w:rFonts w:ascii="Interstate BlackCond" w:hAnsi="Interstate BlackCond"/>
          <w:sz w:val="44"/>
          <w:szCs w:val="44"/>
          <w:lang w:val="es-AR"/>
        </w:rPr>
        <w:t>2017)</w:t>
      </w:r>
    </w:p>
    <w:p w14:paraId="3A25F3D1" w14:textId="77777777" w:rsidR="002A40A0" w:rsidRPr="00665F29" w:rsidRDefault="002A40A0" w:rsidP="00805E69">
      <w:pPr>
        <w:spacing w:after="0" w:line="240" w:lineRule="auto"/>
        <w:jc w:val="center"/>
        <w:rPr>
          <w:lang w:val="es-AR"/>
        </w:rPr>
      </w:pPr>
    </w:p>
    <w:p w14:paraId="45116CAF" w14:textId="77777777" w:rsidR="009A65D2" w:rsidRDefault="009A65D2" w:rsidP="00805E69">
      <w:pPr>
        <w:pStyle w:val="Heading1"/>
        <w:spacing w:before="0" w:after="0" w:line="240" w:lineRule="auto"/>
        <w:jc w:val="center"/>
        <w:rPr>
          <w:rFonts w:ascii="Interstate BlackCond" w:hAnsi="Interstate BlackCond"/>
          <w:sz w:val="40"/>
          <w:szCs w:val="40"/>
          <w:lang w:val="es-AR"/>
        </w:rPr>
      </w:pPr>
      <w:bookmarkStart w:id="0" w:name="_Toc453142040"/>
      <w:r w:rsidRPr="009A65D2">
        <w:rPr>
          <w:rFonts w:ascii="Interstate BlackCond" w:hAnsi="Interstate BlackCond"/>
          <w:sz w:val="40"/>
          <w:szCs w:val="40"/>
          <w:lang w:val="es-AR"/>
        </w:rPr>
        <w:t>Los ingresos publicitarios globales</w:t>
      </w:r>
    </w:p>
    <w:p w14:paraId="7EA5E59E" w14:textId="5DB233F8" w:rsidR="004B4156" w:rsidRPr="009A65D2" w:rsidRDefault="009A65D2" w:rsidP="00805E69">
      <w:pPr>
        <w:pStyle w:val="Heading1"/>
        <w:spacing w:before="0" w:after="0" w:line="240" w:lineRule="auto"/>
        <w:jc w:val="center"/>
        <w:rPr>
          <w:rFonts w:ascii="Interstate BlackCond" w:hAnsi="Interstate BlackCond"/>
          <w:sz w:val="40"/>
          <w:szCs w:val="40"/>
          <w:lang w:val="es-AR"/>
        </w:rPr>
      </w:pPr>
      <w:r w:rsidRPr="009A65D2">
        <w:rPr>
          <w:rFonts w:ascii="Interstate BlackCond" w:hAnsi="Interstate BlackCond"/>
          <w:sz w:val="40"/>
          <w:szCs w:val="40"/>
          <w:lang w:val="es-AR"/>
        </w:rPr>
        <w:t>crecer</w:t>
      </w:r>
      <w:r>
        <w:rPr>
          <w:rFonts w:ascii="Interstate BlackCond" w:hAnsi="Interstate BlackCond"/>
          <w:sz w:val="40"/>
          <w:szCs w:val="40"/>
          <w:lang w:val="es-AR"/>
        </w:rPr>
        <w:t>án un 5% en 2018</w:t>
      </w:r>
    </w:p>
    <w:p w14:paraId="682C8A24" w14:textId="77777777" w:rsidR="002A40A0" w:rsidRPr="009A65D2" w:rsidRDefault="002A40A0" w:rsidP="00805E69">
      <w:pPr>
        <w:spacing w:after="0" w:line="240" w:lineRule="auto"/>
        <w:jc w:val="center"/>
        <w:rPr>
          <w:lang w:val="es-AR"/>
        </w:rPr>
      </w:pPr>
    </w:p>
    <w:p w14:paraId="2FAA1DEE" w14:textId="274EA037" w:rsidR="004B4156" w:rsidRDefault="009A65D2" w:rsidP="00805E69">
      <w:pPr>
        <w:spacing w:after="0" w:line="240" w:lineRule="auto"/>
        <w:jc w:val="center"/>
        <w:rPr>
          <w:rFonts w:ascii="Interstate BlackCond" w:eastAsiaTheme="majorEastAsia" w:hAnsi="Interstate BlackCond" w:cstheme="majorBidi"/>
          <w:b/>
          <w:bCs/>
          <w:sz w:val="40"/>
          <w:szCs w:val="40"/>
          <w:lang w:val="es-AR"/>
        </w:rPr>
      </w:pPr>
      <w:r w:rsidRPr="009A65D2">
        <w:rPr>
          <w:rFonts w:ascii="Interstate BlackCond" w:eastAsiaTheme="majorEastAsia" w:hAnsi="Interstate BlackCond" w:cstheme="majorBidi"/>
          <w:b/>
          <w:bCs/>
          <w:sz w:val="40"/>
          <w:szCs w:val="40"/>
          <w:lang w:val="es-AR"/>
        </w:rPr>
        <w:t xml:space="preserve">Modesto desempeño </w:t>
      </w:r>
      <w:r>
        <w:rPr>
          <w:rFonts w:ascii="Interstate BlackCond" w:eastAsiaTheme="majorEastAsia" w:hAnsi="Interstate BlackCond" w:cstheme="majorBidi"/>
          <w:b/>
          <w:bCs/>
          <w:sz w:val="40"/>
          <w:szCs w:val="40"/>
          <w:lang w:val="es-AR"/>
        </w:rPr>
        <w:t>de</w:t>
      </w:r>
      <w:r w:rsidRPr="009A65D2">
        <w:rPr>
          <w:rFonts w:ascii="Interstate BlackCond" w:eastAsiaTheme="majorEastAsia" w:hAnsi="Interstate BlackCond" w:cstheme="majorBidi"/>
          <w:b/>
          <w:bCs/>
          <w:sz w:val="40"/>
          <w:szCs w:val="40"/>
          <w:lang w:val="es-AR"/>
        </w:rPr>
        <w:t xml:space="preserve"> EEUU</w:t>
      </w:r>
      <w:r w:rsidR="002A40A0" w:rsidRPr="009A65D2">
        <w:rPr>
          <w:rFonts w:ascii="Interstate BlackCond" w:eastAsiaTheme="majorEastAsia" w:hAnsi="Interstate BlackCond" w:cstheme="majorBidi"/>
          <w:b/>
          <w:bCs/>
          <w:sz w:val="40"/>
          <w:szCs w:val="40"/>
          <w:lang w:val="es-AR"/>
        </w:rPr>
        <w:t xml:space="preserve"> (+4</w:t>
      </w:r>
      <w:r w:rsidR="00CA67F6">
        <w:rPr>
          <w:rFonts w:ascii="Interstate BlackCond" w:eastAsiaTheme="majorEastAsia" w:hAnsi="Interstate BlackCond" w:cstheme="majorBidi"/>
          <w:b/>
          <w:bCs/>
          <w:sz w:val="40"/>
          <w:szCs w:val="40"/>
          <w:lang w:val="es-AR"/>
        </w:rPr>
        <w:t>,</w:t>
      </w:r>
      <w:r w:rsidR="002A40A0" w:rsidRPr="009A65D2">
        <w:rPr>
          <w:rFonts w:ascii="Interstate BlackCond" w:eastAsiaTheme="majorEastAsia" w:hAnsi="Interstate BlackCond" w:cstheme="majorBidi"/>
          <w:b/>
          <w:bCs/>
          <w:sz w:val="40"/>
          <w:szCs w:val="40"/>
          <w:lang w:val="es-AR"/>
        </w:rPr>
        <w:t xml:space="preserve">9%) </w:t>
      </w:r>
      <w:r>
        <w:rPr>
          <w:rFonts w:ascii="Interstate BlackCond" w:eastAsiaTheme="majorEastAsia" w:hAnsi="Interstate BlackCond" w:cstheme="majorBidi"/>
          <w:b/>
          <w:bCs/>
          <w:sz w:val="40"/>
          <w:szCs w:val="40"/>
          <w:lang w:val="es-AR"/>
        </w:rPr>
        <w:t>pero debido principalmente a eventos cíclicos del 2018</w:t>
      </w:r>
    </w:p>
    <w:p w14:paraId="1BB786FF" w14:textId="77777777" w:rsidR="00CA67F6" w:rsidRDefault="00CA67F6" w:rsidP="00805E69">
      <w:pPr>
        <w:spacing w:after="0" w:line="240" w:lineRule="auto"/>
        <w:jc w:val="center"/>
        <w:rPr>
          <w:rFonts w:ascii="Interstate BlackCond" w:eastAsiaTheme="majorEastAsia" w:hAnsi="Interstate BlackCond" w:cstheme="majorBidi"/>
          <w:b/>
          <w:bCs/>
          <w:sz w:val="40"/>
          <w:szCs w:val="40"/>
          <w:lang w:val="es-AR"/>
        </w:rPr>
      </w:pPr>
    </w:p>
    <w:p w14:paraId="3D70F082" w14:textId="3166BF14" w:rsidR="00CA67F6" w:rsidRPr="009A65D2" w:rsidRDefault="00CA67F6" w:rsidP="00805E69">
      <w:pPr>
        <w:spacing w:after="0" w:line="240" w:lineRule="auto"/>
        <w:jc w:val="center"/>
        <w:rPr>
          <w:rFonts w:ascii="Interstate BlackCond" w:eastAsiaTheme="majorEastAsia" w:hAnsi="Interstate BlackCond" w:cstheme="majorBidi"/>
          <w:b/>
          <w:bCs/>
          <w:sz w:val="40"/>
          <w:szCs w:val="40"/>
          <w:lang w:val="es-AR"/>
        </w:rPr>
        <w:sectPr w:rsidR="00CA67F6" w:rsidRPr="009A65D2" w:rsidSect="00055B62">
          <w:headerReference w:type="default" r:id="rId9"/>
          <w:footerReference w:type="default" r:id="rId10"/>
          <w:pgSz w:w="12240" w:h="15840" w:code="1"/>
          <w:pgMar w:top="1584" w:right="1440" w:bottom="1584" w:left="1440" w:header="288" w:footer="0" w:gutter="0"/>
          <w:cols w:space="720"/>
          <w:docGrid w:linePitch="360"/>
        </w:sectPr>
      </w:pPr>
      <w:proofErr w:type="spellStart"/>
      <w:r w:rsidRPr="00CA67F6">
        <w:rPr>
          <w:rFonts w:ascii="Interstate BlackCond" w:eastAsiaTheme="majorEastAsia" w:hAnsi="Interstate BlackCond" w:cstheme="majorBidi"/>
          <w:b/>
          <w:bCs/>
          <w:sz w:val="40"/>
          <w:szCs w:val="40"/>
        </w:rPr>
        <w:t>Latinoamérica</w:t>
      </w:r>
      <w:proofErr w:type="spellEnd"/>
      <w:r w:rsidRPr="00CA67F6">
        <w:rPr>
          <w:rFonts w:ascii="Interstate BlackCond" w:eastAsiaTheme="majorEastAsia" w:hAnsi="Interstate BlackCond" w:cstheme="majorBidi"/>
          <w:b/>
          <w:bCs/>
          <w:sz w:val="40"/>
          <w:szCs w:val="40"/>
        </w:rPr>
        <w:t xml:space="preserve"> </w:t>
      </w:r>
      <w:proofErr w:type="spellStart"/>
      <w:r w:rsidRPr="00CA67F6">
        <w:rPr>
          <w:rFonts w:ascii="Interstate BlackCond" w:eastAsiaTheme="majorEastAsia" w:hAnsi="Interstate BlackCond" w:cstheme="majorBidi"/>
          <w:b/>
          <w:bCs/>
          <w:sz w:val="40"/>
          <w:szCs w:val="40"/>
        </w:rPr>
        <w:t>será</w:t>
      </w:r>
      <w:proofErr w:type="spellEnd"/>
      <w:r w:rsidRPr="00CA67F6">
        <w:rPr>
          <w:rFonts w:ascii="Interstate BlackCond" w:eastAsiaTheme="majorEastAsia" w:hAnsi="Interstate BlackCond" w:cstheme="majorBidi"/>
          <w:b/>
          <w:bCs/>
          <w:sz w:val="40"/>
          <w:szCs w:val="40"/>
        </w:rPr>
        <w:t xml:space="preserve"> la </w:t>
      </w:r>
      <w:proofErr w:type="spellStart"/>
      <w:r w:rsidRPr="00CA67F6">
        <w:rPr>
          <w:rFonts w:ascii="Interstate BlackCond" w:eastAsiaTheme="majorEastAsia" w:hAnsi="Interstate BlackCond" w:cstheme="majorBidi"/>
          <w:b/>
          <w:bCs/>
          <w:sz w:val="40"/>
          <w:szCs w:val="40"/>
        </w:rPr>
        <w:t>región</w:t>
      </w:r>
      <w:proofErr w:type="spellEnd"/>
      <w:r w:rsidRPr="00CA67F6">
        <w:rPr>
          <w:rFonts w:ascii="Interstate BlackCond" w:eastAsiaTheme="majorEastAsia" w:hAnsi="Interstate BlackCond" w:cstheme="majorBidi"/>
          <w:b/>
          <w:bCs/>
          <w:sz w:val="40"/>
          <w:szCs w:val="40"/>
        </w:rPr>
        <w:t xml:space="preserve"> con </w:t>
      </w:r>
      <w:proofErr w:type="spellStart"/>
      <w:r w:rsidRPr="00CA67F6">
        <w:rPr>
          <w:rFonts w:ascii="Interstate BlackCond" w:eastAsiaTheme="majorEastAsia" w:hAnsi="Interstate BlackCond" w:cstheme="majorBidi"/>
          <w:b/>
          <w:bCs/>
          <w:sz w:val="40"/>
          <w:szCs w:val="40"/>
        </w:rPr>
        <w:t>crecimiento</w:t>
      </w:r>
      <w:proofErr w:type="spellEnd"/>
      <w:r w:rsidRPr="00CA67F6">
        <w:rPr>
          <w:rFonts w:ascii="Interstate BlackCond" w:eastAsiaTheme="majorEastAsia" w:hAnsi="Interstate BlackCond" w:cstheme="majorBidi"/>
          <w:b/>
          <w:bCs/>
          <w:sz w:val="40"/>
          <w:szCs w:val="40"/>
        </w:rPr>
        <w:t xml:space="preserve"> </w:t>
      </w:r>
      <w:proofErr w:type="spellStart"/>
      <w:r w:rsidRPr="00CA67F6">
        <w:rPr>
          <w:rFonts w:ascii="Interstate BlackCond" w:eastAsiaTheme="majorEastAsia" w:hAnsi="Interstate BlackCond" w:cstheme="majorBidi"/>
          <w:b/>
          <w:bCs/>
          <w:sz w:val="40"/>
          <w:szCs w:val="40"/>
        </w:rPr>
        <w:t>más</w:t>
      </w:r>
      <w:proofErr w:type="spellEnd"/>
      <w:r w:rsidRPr="00CA67F6">
        <w:rPr>
          <w:rFonts w:ascii="Interstate BlackCond" w:eastAsiaTheme="majorEastAsia" w:hAnsi="Interstate BlackCond" w:cstheme="majorBidi"/>
          <w:b/>
          <w:bCs/>
          <w:sz w:val="40"/>
          <w:szCs w:val="40"/>
        </w:rPr>
        <w:t xml:space="preserve"> </w:t>
      </w:r>
      <w:proofErr w:type="spellStart"/>
      <w:r w:rsidRPr="00CA67F6">
        <w:rPr>
          <w:rFonts w:ascii="Interstate BlackCond" w:eastAsiaTheme="majorEastAsia" w:hAnsi="Interstate BlackCond" w:cstheme="majorBidi"/>
          <w:b/>
          <w:bCs/>
          <w:sz w:val="40"/>
          <w:szCs w:val="40"/>
        </w:rPr>
        <w:t>acelerado</w:t>
      </w:r>
      <w:proofErr w:type="spellEnd"/>
      <w:r w:rsidRPr="00CA67F6">
        <w:rPr>
          <w:rFonts w:ascii="Interstate BlackCond" w:eastAsiaTheme="majorEastAsia" w:hAnsi="Interstate BlackCond" w:cstheme="majorBidi"/>
          <w:b/>
          <w:bCs/>
          <w:sz w:val="40"/>
          <w:szCs w:val="40"/>
        </w:rPr>
        <w:t xml:space="preserve"> a </w:t>
      </w:r>
      <w:proofErr w:type="spellStart"/>
      <w:r w:rsidRPr="00CA67F6">
        <w:rPr>
          <w:rFonts w:ascii="Interstate BlackCond" w:eastAsiaTheme="majorEastAsia" w:hAnsi="Interstate BlackCond" w:cstheme="majorBidi"/>
          <w:b/>
          <w:bCs/>
          <w:sz w:val="40"/>
          <w:szCs w:val="40"/>
        </w:rPr>
        <w:t>nivel</w:t>
      </w:r>
      <w:proofErr w:type="spellEnd"/>
      <w:r w:rsidRPr="00CA67F6">
        <w:rPr>
          <w:rFonts w:ascii="Interstate BlackCond" w:eastAsiaTheme="majorEastAsia" w:hAnsi="Interstate BlackCond" w:cstheme="majorBidi"/>
          <w:b/>
          <w:bCs/>
          <w:sz w:val="40"/>
          <w:szCs w:val="40"/>
        </w:rPr>
        <w:t xml:space="preserve"> global</w:t>
      </w:r>
      <w:r>
        <w:rPr>
          <w:rFonts w:ascii="Interstate BlackCond" w:eastAsiaTheme="majorEastAsia" w:hAnsi="Interstate BlackCond" w:cstheme="majorBidi"/>
          <w:b/>
          <w:bCs/>
          <w:sz w:val="40"/>
          <w:szCs w:val="40"/>
        </w:rPr>
        <w:t xml:space="preserve"> (+9,</w:t>
      </w:r>
      <w:r w:rsidRPr="00CA67F6">
        <w:rPr>
          <w:rFonts w:ascii="Interstate BlackCond" w:eastAsiaTheme="majorEastAsia" w:hAnsi="Interstate BlackCond" w:cstheme="majorBidi"/>
          <w:b/>
          <w:bCs/>
          <w:sz w:val="40"/>
          <w:szCs w:val="40"/>
        </w:rPr>
        <w:t>3%</w:t>
      </w:r>
      <w:r>
        <w:rPr>
          <w:rFonts w:ascii="Interstate BlackCond" w:eastAsiaTheme="majorEastAsia" w:hAnsi="Interstate BlackCond" w:cstheme="majorBidi"/>
          <w:b/>
          <w:bCs/>
          <w:sz w:val="40"/>
          <w:szCs w:val="40"/>
        </w:rPr>
        <w:t>)</w:t>
      </w:r>
    </w:p>
    <w:bookmarkEnd w:id="0"/>
    <w:p w14:paraId="2C499258" w14:textId="77777777" w:rsidR="0058181F" w:rsidRPr="009A65D2" w:rsidRDefault="0058181F" w:rsidP="00805E69">
      <w:pPr>
        <w:jc w:val="both"/>
        <w:rPr>
          <w:lang w:val="es-AR"/>
        </w:rPr>
      </w:pPr>
    </w:p>
    <w:p w14:paraId="2C4B07D5" w14:textId="75BD3D99" w:rsidR="004B4156" w:rsidRPr="00135F2F" w:rsidRDefault="009A65D2" w:rsidP="00805E69">
      <w:pPr>
        <w:pStyle w:val="Heading1"/>
        <w:spacing w:after="240"/>
        <w:jc w:val="both"/>
      </w:pPr>
      <w:proofErr w:type="spellStart"/>
      <w:r>
        <w:t>Principales</w:t>
      </w:r>
      <w:proofErr w:type="spellEnd"/>
      <w:r>
        <w:t xml:space="preserve"> </w:t>
      </w:r>
      <w:proofErr w:type="spellStart"/>
      <w:r>
        <w:t>h</w:t>
      </w:r>
      <w:r w:rsidR="003D5921">
        <w:t>allazgos</w:t>
      </w:r>
      <w:proofErr w:type="spellEnd"/>
    </w:p>
    <w:p w14:paraId="55783E16" w14:textId="4299516D" w:rsidR="004B4156" w:rsidRPr="00FE44CE" w:rsidRDefault="00FE44CE" w:rsidP="00805E69">
      <w:pPr>
        <w:pStyle w:val="ListParagraph"/>
        <w:numPr>
          <w:ilvl w:val="0"/>
          <w:numId w:val="24"/>
        </w:numPr>
        <w:jc w:val="both"/>
        <w:rPr>
          <w:lang w:val="es-AR"/>
        </w:rPr>
      </w:pPr>
      <w:bookmarkStart w:id="1" w:name="_Toc467677621"/>
      <w:r w:rsidRPr="00FE44CE">
        <w:rPr>
          <w:lang w:val="es-AR"/>
        </w:rPr>
        <w:t>En la última edición del informe sobre tendencias globales para el mercado publicitario publicado el 4 de diciembre de 2017 MAG</w:t>
      </w:r>
      <w:r w:rsidR="00CB0DA4">
        <w:rPr>
          <w:lang w:val="es-AR"/>
        </w:rPr>
        <w:t>NA</w:t>
      </w:r>
      <w:r w:rsidRPr="00FE44CE">
        <w:rPr>
          <w:lang w:val="es-AR"/>
        </w:rPr>
        <w:t xml:space="preserve"> prevé que los ingresos publicitarios netos de los dueños de medios tendr</w:t>
      </w:r>
      <w:r>
        <w:rPr>
          <w:lang w:val="es-AR"/>
        </w:rPr>
        <w:t xml:space="preserve">án un crecimiento del </w:t>
      </w:r>
      <w:r w:rsidR="004B4156" w:rsidRPr="00FE44CE">
        <w:rPr>
          <w:b/>
          <w:lang w:val="es-AR"/>
        </w:rPr>
        <w:t>+</w:t>
      </w:r>
      <w:r w:rsidR="00AE7B6C" w:rsidRPr="00FE44CE">
        <w:rPr>
          <w:b/>
          <w:lang w:val="es-AR"/>
        </w:rPr>
        <w:t>5</w:t>
      </w:r>
      <w:r w:rsidR="00CB0DA4">
        <w:rPr>
          <w:b/>
          <w:lang w:val="es-AR"/>
        </w:rPr>
        <w:t>,</w:t>
      </w:r>
      <w:r w:rsidR="00032398" w:rsidRPr="00FE44CE">
        <w:rPr>
          <w:b/>
          <w:lang w:val="es-AR"/>
        </w:rPr>
        <w:t>2</w:t>
      </w:r>
      <w:r>
        <w:rPr>
          <w:b/>
          <w:lang w:val="es-AR"/>
        </w:rPr>
        <w:t xml:space="preserve">%, alcanzando los </w:t>
      </w:r>
      <w:r w:rsidR="004B4156" w:rsidRPr="00FE44CE">
        <w:rPr>
          <w:b/>
          <w:lang w:val="es-AR"/>
        </w:rPr>
        <w:t>5</w:t>
      </w:r>
      <w:r w:rsidR="00AE7B6C" w:rsidRPr="00FE44CE">
        <w:rPr>
          <w:b/>
          <w:lang w:val="es-AR"/>
        </w:rPr>
        <w:t>3</w:t>
      </w:r>
      <w:r w:rsidR="00D72231" w:rsidRPr="00FE44CE">
        <w:rPr>
          <w:b/>
          <w:lang w:val="es-AR"/>
        </w:rPr>
        <w:t>5</w:t>
      </w:r>
      <w:r>
        <w:rPr>
          <w:b/>
          <w:lang w:val="es-AR"/>
        </w:rPr>
        <w:t xml:space="preserve"> mil millones de dólares </w:t>
      </w:r>
      <w:r>
        <w:rPr>
          <w:lang w:val="es-AR"/>
        </w:rPr>
        <w:t>e</w:t>
      </w:r>
      <w:r w:rsidR="00AE7B6C" w:rsidRPr="00FE44CE">
        <w:rPr>
          <w:lang w:val="es-AR"/>
        </w:rPr>
        <w:t>n 2018</w:t>
      </w:r>
      <w:r w:rsidR="004B4156" w:rsidRPr="00FE44CE">
        <w:rPr>
          <w:lang w:val="es-AR"/>
        </w:rPr>
        <w:t>.</w:t>
      </w:r>
    </w:p>
    <w:p w14:paraId="00F2A551" w14:textId="3138E4E2" w:rsidR="004B4156" w:rsidRPr="009A65D2" w:rsidRDefault="00FE44CE" w:rsidP="00805E69">
      <w:pPr>
        <w:pStyle w:val="ListParagraph"/>
        <w:numPr>
          <w:ilvl w:val="0"/>
          <w:numId w:val="24"/>
        </w:numPr>
        <w:jc w:val="both"/>
        <w:rPr>
          <w:lang w:val="es-AR"/>
        </w:rPr>
      </w:pPr>
      <w:r w:rsidRPr="00FE44CE">
        <w:rPr>
          <w:lang w:val="es-AR"/>
        </w:rPr>
        <w:t xml:space="preserve">Esto implicará una </w:t>
      </w:r>
      <w:r w:rsidRPr="00FE44CE">
        <w:rPr>
          <w:b/>
          <w:lang w:val="es-AR"/>
        </w:rPr>
        <w:t xml:space="preserve">aceleración desde el 2017 (+4,1%) </w:t>
      </w:r>
      <w:r w:rsidRPr="00FE44CE">
        <w:rPr>
          <w:lang w:val="es-AR"/>
        </w:rPr>
        <w:t>principalmente debido al impacto de los impulsores cíc</w:t>
      </w:r>
      <w:r w:rsidR="009A65D2">
        <w:rPr>
          <w:lang w:val="es-AR"/>
        </w:rPr>
        <w:t>l</w:t>
      </w:r>
      <w:r w:rsidRPr="00FE44CE">
        <w:rPr>
          <w:lang w:val="es-AR"/>
        </w:rPr>
        <w:t xml:space="preserve">icos en 2018 (la Copa Mundial de la FIFA, </w:t>
      </w:r>
      <w:r w:rsidR="00CB0DA4">
        <w:rPr>
          <w:lang w:val="es-AR"/>
        </w:rPr>
        <w:t>l</w:t>
      </w:r>
      <w:r w:rsidRPr="00FE44CE">
        <w:rPr>
          <w:lang w:val="es-AR"/>
        </w:rPr>
        <w:t>os Juegos Ol</w:t>
      </w:r>
      <w:r>
        <w:rPr>
          <w:lang w:val="es-AR"/>
        </w:rPr>
        <w:t xml:space="preserve">ímpicos de invierno, las elecciones intermedias en EEUU). </w:t>
      </w:r>
      <w:r w:rsidRPr="00FE44CE">
        <w:rPr>
          <w:lang w:val="es-AR"/>
        </w:rPr>
        <w:t>Si neutralizamos los cinco mil millones de dólares de inversi</w:t>
      </w:r>
      <w:r w:rsidR="009A65D2">
        <w:rPr>
          <w:lang w:val="es-AR"/>
        </w:rPr>
        <w:t>ó</w:t>
      </w:r>
      <w:r w:rsidRPr="00FE44CE">
        <w:rPr>
          <w:lang w:val="es-AR"/>
        </w:rPr>
        <w:t xml:space="preserve">n publicitaria incremental generada por estos eventos cíclicos, el crecimiento para 2018 </w:t>
      </w:r>
      <w:r>
        <w:rPr>
          <w:lang w:val="es-AR"/>
        </w:rPr>
        <w:t xml:space="preserve">sería de +4,1% comparado con el +5,1% del 2017. </w:t>
      </w:r>
      <w:r w:rsidRPr="00FE44CE">
        <w:rPr>
          <w:lang w:val="es-AR"/>
        </w:rPr>
        <w:t xml:space="preserve"> </w:t>
      </w:r>
    </w:p>
    <w:p w14:paraId="2E7F24F2" w14:textId="5715BFD4" w:rsidR="001B3E7E" w:rsidRPr="009A65D2" w:rsidRDefault="00FE44CE" w:rsidP="00805E69">
      <w:pPr>
        <w:pStyle w:val="ListParagraph"/>
        <w:numPr>
          <w:ilvl w:val="0"/>
          <w:numId w:val="24"/>
        </w:numPr>
        <w:jc w:val="both"/>
        <w:rPr>
          <w:lang w:val="es-AR"/>
        </w:rPr>
      </w:pPr>
      <w:r w:rsidRPr="009A65D2">
        <w:rPr>
          <w:lang w:val="es-AR"/>
        </w:rPr>
        <w:t xml:space="preserve">Las ventas publicitarias en digital y móvil tendrán un crecimiento del </w:t>
      </w:r>
      <w:r w:rsidR="009A65D2" w:rsidRPr="009A65D2">
        <w:rPr>
          <w:lang w:val="es-AR"/>
        </w:rPr>
        <w:t>+13% en 2018, alcanzando los 237 mil millones de dólares o un 44% de los ingresos publicitarios globales. Los mismos abarcarán el 50% del total de ventas publicitarias para 2020</w:t>
      </w:r>
      <w:r w:rsidR="0031055A" w:rsidRPr="009A65D2">
        <w:rPr>
          <w:lang w:val="es-AR"/>
        </w:rPr>
        <w:t>.</w:t>
      </w:r>
    </w:p>
    <w:p w14:paraId="431DA1C2" w14:textId="2EB83DFE" w:rsidR="007248CC" w:rsidRPr="009A65D2" w:rsidRDefault="009A65D2" w:rsidP="00805E69">
      <w:pPr>
        <w:pStyle w:val="ListParagraph"/>
        <w:numPr>
          <w:ilvl w:val="0"/>
          <w:numId w:val="24"/>
        </w:numPr>
        <w:jc w:val="both"/>
        <w:rPr>
          <w:lang w:val="es-AR"/>
        </w:rPr>
      </w:pPr>
      <w:r w:rsidRPr="009A65D2">
        <w:rPr>
          <w:b/>
          <w:lang w:val="es-AR"/>
        </w:rPr>
        <w:t xml:space="preserve">En los Estados Unidos, </w:t>
      </w:r>
      <w:r w:rsidRPr="009A65D2">
        <w:rPr>
          <w:lang w:val="es-AR"/>
        </w:rPr>
        <w:t xml:space="preserve">las ventas publicitarias tendrán un crecimiento del </w:t>
      </w:r>
      <w:r w:rsidR="007248CC" w:rsidRPr="009A65D2">
        <w:rPr>
          <w:b/>
          <w:lang w:val="es-AR"/>
        </w:rPr>
        <w:t>+</w:t>
      </w:r>
      <w:r w:rsidR="00032398" w:rsidRPr="009A65D2">
        <w:rPr>
          <w:b/>
          <w:lang w:val="es-AR"/>
        </w:rPr>
        <w:t>5</w:t>
      </w:r>
      <w:r>
        <w:rPr>
          <w:b/>
          <w:lang w:val="es-AR"/>
        </w:rPr>
        <w:t>,</w:t>
      </w:r>
      <w:r w:rsidR="00032398" w:rsidRPr="009A65D2">
        <w:rPr>
          <w:b/>
          <w:lang w:val="es-AR"/>
        </w:rPr>
        <w:t>0</w:t>
      </w:r>
      <w:r w:rsidR="007248CC" w:rsidRPr="009A65D2">
        <w:rPr>
          <w:b/>
          <w:lang w:val="es-AR"/>
        </w:rPr>
        <w:t xml:space="preserve">% </w:t>
      </w:r>
      <w:r>
        <w:rPr>
          <w:b/>
          <w:lang w:val="es-AR"/>
        </w:rPr>
        <w:t>e</w:t>
      </w:r>
      <w:r w:rsidR="007248CC" w:rsidRPr="009A65D2">
        <w:rPr>
          <w:b/>
          <w:lang w:val="es-AR"/>
        </w:rPr>
        <w:t>n 2018</w:t>
      </w:r>
      <w:r>
        <w:rPr>
          <w:b/>
          <w:lang w:val="es-AR"/>
        </w:rPr>
        <w:t xml:space="preserve">, </w:t>
      </w:r>
      <w:r>
        <w:rPr>
          <w:lang w:val="es-AR"/>
        </w:rPr>
        <w:t xml:space="preserve">alcanzando los 195 mil millones de dólares. Si neutralizamos las ventas publicitarias incrementales generadas por los eventos de años pares </w:t>
      </w:r>
      <w:r w:rsidR="007248CC" w:rsidRPr="009A65D2">
        <w:rPr>
          <w:lang w:val="es-AR"/>
        </w:rPr>
        <w:t>(</w:t>
      </w:r>
      <w:r w:rsidR="00040141" w:rsidRPr="009A65D2">
        <w:rPr>
          <w:lang w:val="es-AR"/>
        </w:rPr>
        <w:t>+</w:t>
      </w:r>
      <w:r w:rsidR="007248CC" w:rsidRPr="009A65D2">
        <w:rPr>
          <w:lang w:val="es-AR"/>
        </w:rPr>
        <w:t>3</w:t>
      </w:r>
      <w:r w:rsidR="003512E9">
        <w:rPr>
          <w:lang w:val="es-AR"/>
        </w:rPr>
        <w:t>.</w:t>
      </w:r>
      <w:r w:rsidR="007248CC" w:rsidRPr="009A65D2">
        <w:rPr>
          <w:lang w:val="es-AR"/>
        </w:rPr>
        <w:t>7</w:t>
      </w:r>
      <w:r>
        <w:rPr>
          <w:lang w:val="es-AR"/>
        </w:rPr>
        <w:t xml:space="preserve"> mil millones de dólares</w:t>
      </w:r>
      <w:r w:rsidR="007248CC" w:rsidRPr="009A65D2">
        <w:rPr>
          <w:lang w:val="es-AR"/>
        </w:rPr>
        <w:t>)</w:t>
      </w:r>
      <w:r w:rsidR="00032398" w:rsidRPr="009A65D2">
        <w:rPr>
          <w:lang w:val="es-AR"/>
        </w:rPr>
        <w:t xml:space="preserve">, </w:t>
      </w:r>
      <w:r w:rsidRPr="009A65D2">
        <w:rPr>
          <w:lang w:val="es-AR"/>
        </w:rPr>
        <w:t xml:space="preserve">el crecimiento para </w:t>
      </w:r>
      <w:r w:rsidR="00032398" w:rsidRPr="009A65D2">
        <w:rPr>
          <w:lang w:val="es-AR"/>
        </w:rPr>
        <w:t xml:space="preserve">2018 </w:t>
      </w:r>
      <w:r>
        <w:rPr>
          <w:lang w:val="es-AR"/>
        </w:rPr>
        <w:t xml:space="preserve">sólo será del </w:t>
      </w:r>
      <w:r w:rsidR="00032398" w:rsidRPr="009A65D2">
        <w:rPr>
          <w:lang w:val="es-AR"/>
        </w:rPr>
        <w:t>+3</w:t>
      </w:r>
      <w:r>
        <w:rPr>
          <w:lang w:val="es-AR"/>
        </w:rPr>
        <w:t>,</w:t>
      </w:r>
      <w:r w:rsidR="00032398" w:rsidRPr="009A65D2">
        <w:rPr>
          <w:lang w:val="es-AR"/>
        </w:rPr>
        <w:t>2</w:t>
      </w:r>
      <w:r w:rsidR="007248CC" w:rsidRPr="009A65D2">
        <w:rPr>
          <w:lang w:val="es-AR"/>
        </w:rPr>
        <w:t xml:space="preserve">% </w:t>
      </w:r>
      <w:r>
        <w:rPr>
          <w:lang w:val="es-AR"/>
        </w:rPr>
        <w:t xml:space="preserve">en comparación con el </w:t>
      </w:r>
      <w:r w:rsidR="007248CC" w:rsidRPr="009A65D2">
        <w:rPr>
          <w:lang w:val="es-AR"/>
        </w:rPr>
        <w:t>+</w:t>
      </w:r>
      <w:r w:rsidR="00381CBF" w:rsidRPr="009A65D2">
        <w:rPr>
          <w:lang w:val="es-AR"/>
        </w:rPr>
        <w:t>3</w:t>
      </w:r>
      <w:r>
        <w:rPr>
          <w:lang w:val="es-AR"/>
        </w:rPr>
        <w:t>,</w:t>
      </w:r>
      <w:r w:rsidR="00381CBF" w:rsidRPr="009A65D2">
        <w:rPr>
          <w:lang w:val="es-AR"/>
        </w:rPr>
        <w:t xml:space="preserve">9% </w:t>
      </w:r>
      <w:r>
        <w:rPr>
          <w:lang w:val="es-AR"/>
        </w:rPr>
        <w:t>e</w:t>
      </w:r>
      <w:r w:rsidR="00381CBF" w:rsidRPr="009A65D2">
        <w:rPr>
          <w:lang w:val="es-AR"/>
        </w:rPr>
        <w:t xml:space="preserve">n 2017 </w:t>
      </w:r>
      <w:r>
        <w:rPr>
          <w:lang w:val="es-AR"/>
        </w:rPr>
        <w:t xml:space="preserve"> y </w:t>
      </w:r>
      <w:r w:rsidR="00381CBF" w:rsidRPr="009A65D2">
        <w:rPr>
          <w:lang w:val="es-AR"/>
        </w:rPr>
        <w:t>+5</w:t>
      </w:r>
      <w:r>
        <w:rPr>
          <w:lang w:val="es-AR"/>
        </w:rPr>
        <w:t>,</w:t>
      </w:r>
      <w:r w:rsidR="00381CBF" w:rsidRPr="009A65D2">
        <w:rPr>
          <w:lang w:val="es-AR"/>
        </w:rPr>
        <w:t>9%</w:t>
      </w:r>
      <w:r>
        <w:rPr>
          <w:lang w:val="es-AR"/>
        </w:rPr>
        <w:t xml:space="preserve"> e</w:t>
      </w:r>
      <w:r w:rsidR="00381CBF" w:rsidRPr="009A65D2">
        <w:rPr>
          <w:lang w:val="es-AR"/>
        </w:rPr>
        <w:t>n 2016.</w:t>
      </w:r>
    </w:p>
    <w:p w14:paraId="546DEA6A" w14:textId="77777777" w:rsidR="0058181F" w:rsidRPr="009A65D2" w:rsidRDefault="0058181F" w:rsidP="00805E69">
      <w:pPr>
        <w:pStyle w:val="Heading1"/>
        <w:jc w:val="both"/>
        <w:rPr>
          <w:lang w:val="es-AR"/>
        </w:rPr>
      </w:pPr>
    </w:p>
    <w:p w14:paraId="40D9F2FA" w14:textId="0A24D877" w:rsidR="0058181F" w:rsidRPr="009A65D2" w:rsidRDefault="0058181F" w:rsidP="00805E69">
      <w:pPr>
        <w:jc w:val="both"/>
        <w:rPr>
          <w:lang w:val="es-AR"/>
        </w:rPr>
      </w:pPr>
    </w:p>
    <w:p w14:paraId="429107D3" w14:textId="77777777" w:rsidR="002A40A0" w:rsidRPr="009A65D2" w:rsidRDefault="002A40A0" w:rsidP="00805E69">
      <w:pPr>
        <w:jc w:val="both"/>
        <w:rPr>
          <w:lang w:val="es-AR"/>
        </w:rPr>
      </w:pPr>
    </w:p>
    <w:p w14:paraId="50E60524" w14:textId="77777777" w:rsidR="002A40A0" w:rsidRPr="009A65D2" w:rsidRDefault="002A40A0" w:rsidP="00805E69">
      <w:pPr>
        <w:jc w:val="both"/>
        <w:rPr>
          <w:lang w:val="es-AR"/>
        </w:rPr>
      </w:pPr>
    </w:p>
    <w:p w14:paraId="2360079A" w14:textId="77777777" w:rsidR="002A40A0" w:rsidRPr="009A65D2" w:rsidRDefault="002A40A0" w:rsidP="00805E69">
      <w:pPr>
        <w:jc w:val="both"/>
        <w:rPr>
          <w:rFonts w:ascii="Interstate Regular Cond" w:eastAsiaTheme="majorEastAsia" w:hAnsi="Interstate Regular Cond" w:cstheme="majorBidi"/>
          <w:b/>
          <w:bCs/>
          <w:sz w:val="36"/>
          <w:szCs w:val="28"/>
          <w:lang w:val="es-AR"/>
        </w:rPr>
      </w:pPr>
    </w:p>
    <w:p w14:paraId="18AC9194" w14:textId="1C335350" w:rsidR="004B4156" w:rsidRPr="00257068" w:rsidRDefault="009A65D2" w:rsidP="00805E69">
      <w:pPr>
        <w:pStyle w:val="Heading1"/>
        <w:tabs>
          <w:tab w:val="center" w:pos="4680"/>
        </w:tabs>
        <w:jc w:val="both"/>
      </w:pPr>
      <w:proofErr w:type="spellStart"/>
      <w:r>
        <w:t>Diez</w:t>
      </w:r>
      <w:proofErr w:type="spellEnd"/>
      <w:r>
        <w:t xml:space="preserve"> </w:t>
      </w:r>
      <w:proofErr w:type="spellStart"/>
      <w:r>
        <w:t>hallazgos</w:t>
      </w:r>
      <w:proofErr w:type="spellEnd"/>
      <w:r>
        <w:t xml:space="preserve"> clave</w:t>
      </w:r>
      <w:bookmarkEnd w:id="1"/>
      <w:r w:rsidR="002A40A0">
        <w:tab/>
      </w:r>
    </w:p>
    <w:p w14:paraId="2F599F2D" w14:textId="7BAFAE71" w:rsidR="004B4156" w:rsidRPr="009A65D2" w:rsidRDefault="009A65D2" w:rsidP="00805E69">
      <w:pPr>
        <w:pStyle w:val="ListParagraph"/>
        <w:numPr>
          <w:ilvl w:val="0"/>
          <w:numId w:val="18"/>
        </w:numPr>
        <w:spacing w:after="0" w:line="240" w:lineRule="auto"/>
        <w:contextualSpacing w:val="0"/>
        <w:jc w:val="both"/>
        <w:rPr>
          <w:sz w:val="20"/>
          <w:szCs w:val="20"/>
          <w:lang w:val="es-AR"/>
        </w:rPr>
      </w:pPr>
      <w:r w:rsidRPr="009A65D2">
        <w:rPr>
          <w:b/>
          <w:sz w:val="20"/>
          <w:szCs w:val="20"/>
          <w:lang w:val="es-AR"/>
        </w:rPr>
        <w:t xml:space="preserve">A nivel global, se prevé que los ingresos publicitarios de los dueños de medios tengan un crecimiento del </w:t>
      </w:r>
      <w:r w:rsidR="001B3E7E" w:rsidRPr="009A65D2">
        <w:rPr>
          <w:b/>
          <w:sz w:val="20"/>
          <w:szCs w:val="20"/>
          <w:lang w:val="es-AR"/>
        </w:rPr>
        <w:t>+5</w:t>
      </w:r>
      <w:r>
        <w:rPr>
          <w:b/>
          <w:sz w:val="20"/>
          <w:szCs w:val="20"/>
          <w:lang w:val="es-AR"/>
        </w:rPr>
        <w:t>,</w:t>
      </w:r>
      <w:r w:rsidR="00D72231" w:rsidRPr="009A65D2">
        <w:rPr>
          <w:b/>
          <w:sz w:val="20"/>
          <w:szCs w:val="20"/>
          <w:lang w:val="es-AR"/>
        </w:rPr>
        <w:t>2</w:t>
      </w:r>
      <w:r w:rsidR="001B3E7E" w:rsidRPr="009A65D2">
        <w:rPr>
          <w:b/>
          <w:sz w:val="20"/>
          <w:szCs w:val="20"/>
          <w:lang w:val="es-AR"/>
        </w:rPr>
        <w:t xml:space="preserve">% </w:t>
      </w:r>
      <w:r>
        <w:rPr>
          <w:b/>
          <w:sz w:val="20"/>
          <w:szCs w:val="20"/>
          <w:lang w:val="es-AR"/>
        </w:rPr>
        <w:t>e</w:t>
      </w:r>
      <w:r w:rsidR="001B3E7E" w:rsidRPr="009A65D2">
        <w:rPr>
          <w:b/>
          <w:sz w:val="20"/>
          <w:szCs w:val="20"/>
          <w:lang w:val="es-AR"/>
        </w:rPr>
        <w:t xml:space="preserve">n 2018, </w:t>
      </w:r>
      <w:r>
        <w:rPr>
          <w:b/>
          <w:sz w:val="20"/>
          <w:szCs w:val="20"/>
          <w:lang w:val="es-AR"/>
        </w:rPr>
        <w:t xml:space="preserve">alcanzando los </w:t>
      </w:r>
      <w:r w:rsidR="001B3E7E" w:rsidRPr="009A65D2">
        <w:rPr>
          <w:b/>
          <w:sz w:val="20"/>
          <w:szCs w:val="20"/>
          <w:lang w:val="es-AR"/>
        </w:rPr>
        <w:t>53</w:t>
      </w:r>
      <w:r w:rsidR="00D72231" w:rsidRPr="009A65D2">
        <w:rPr>
          <w:b/>
          <w:sz w:val="20"/>
          <w:szCs w:val="20"/>
          <w:lang w:val="es-AR"/>
        </w:rPr>
        <w:t>5</w:t>
      </w:r>
      <w:r w:rsidR="004B4156" w:rsidRPr="009A65D2">
        <w:rPr>
          <w:b/>
          <w:sz w:val="20"/>
          <w:szCs w:val="20"/>
          <w:lang w:val="es-AR"/>
        </w:rPr>
        <w:t xml:space="preserve"> </w:t>
      </w:r>
      <w:r>
        <w:rPr>
          <w:b/>
          <w:sz w:val="20"/>
          <w:szCs w:val="20"/>
          <w:lang w:val="es-AR"/>
        </w:rPr>
        <w:t>mil millones de dólares</w:t>
      </w:r>
      <w:r w:rsidR="004B4156" w:rsidRPr="009A65D2">
        <w:rPr>
          <w:b/>
          <w:sz w:val="20"/>
          <w:szCs w:val="20"/>
          <w:lang w:val="es-AR"/>
        </w:rPr>
        <w:t xml:space="preserve">. </w:t>
      </w:r>
      <w:r w:rsidRPr="009A65D2">
        <w:rPr>
          <w:sz w:val="20"/>
          <w:szCs w:val="20"/>
          <w:lang w:val="es-AR"/>
        </w:rPr>
        <w:t xml:space="preserve">Esto </w:t>
      </w:r>
      <w:r>
        <w:rPr>
          <w:sz w:val="20"/>
          <w:szCs w:val="20"/>
          <w:lang w:val="es-AR"/>
        </w:rPr>
        <w:t xml:space="preserve">es ligeramente superior a </w:t>
      </w:r>
      <w:r w:rsidRPr="009A65D2">
        <w:rPr>
          <w:sz w:val="20"/>
          <w:szCs w:val="20"/>
          <w:lang w:val="es-AR"/>
        </w:rPr>
        <w:t>la proyección previa</w:t>
      </w:r>
      <w:r>
        <w:rPr>
          <w:sz w:val="20"/>
          <w:szCs w:val="20"/>
          <w:lang w:val="es-AR"/>
        </w:rPr>
        <w:t xml:space="preserve"> de MAGNA (publicada en junio de 2017). </w:t>
      </w:r>
      <w:r w:rsidRPr="009A65D2">
        <w:rPr>
          <w:sz w:val="20"/>
          <w:szCs w:val="20"/>
          <w:lang w:val="es-AR"/>
        </w:rPr>
        <w:t>Esto implicará una re</w:t>
      </w:r>
      <w:r w:rsidR="00802665">
        <w:rPr>
          <w:sz w:val="20"/>
          <w:szCs w:val="20"/>
          <w:lang w:val="es-AR"/>
        </w:rPr>
        <w:t>-</w:t>
      </w:r>
      <w:r w:rsidRPr="009A65D2">
        <w:rPr>
          <w:sz w:val="20"/>
          <w:szCs w:val="20"/>
          <w:lang w:val="es-AR"/>
        </w:rPr>
        <w:t>aceleración</w:t>
      </w:r>
      <w:r w:rsidR="00CB0DA4">
        <w:rPr>
          <w:sz w:val="20"/>
          <w:szCs w:val="20"/>
          <w:lang w:val="es-AR"/>
        </w:rPr>
        <w:t xml:space="preserve"> en</w:t>
      </w:r>
      <w:r w:rsidRPr="009A65D2">
        <w:rPr>
          <w:sz w:val="20"/>
          <w:szCs w:val="20"/>
          <w:lang w:val="es-AR"/>
        </w:rPr>
        <w:t xml:space="preserve"> la tasa de crecimiento del +4,1% en 2017</w:t>
      </w:r>
      <w:r w:rsidR="001B3E7E" w:rsidRPr="009A65D2">
        <w:rPr>
          <w:sz w:val="20"/>
          <w:szCs w:val="20"/>
          <w:lang w:val="es-AR"/>
        </w:rPr>
        <w:t>.</w:t>
      </w:r>
    </w:p>
    <w:p w14:paraId="4B89F379" w14:textId="6D5E23A4" w:rsidR="008C13B4" w:rsidRPr="009A65D2" w:rsidRDefault="009A65D2" w:rsidP="00805E69">
      <w:pPr>
        <w:pStyle w:val="ListParagraph"/>
        <w:numPr>
          <w:ilvl w:val="0"/>
          <w:numId w:val="18"/>
        </w:numPr>
        <w:spacing w:after="0" w:line="240" w:lineRule="auto"/>
        <w:contextualSpacing w:val="0"/>
        <w:jc w:val="both"/>
        <w:rPr>
          <w:sz w:val="20"/>
          <w:szCs w:val="20"/>
          <w:lang w:val="es-AR"/>
        </w:rPr>
      </w:pPr>
      <w:r w:rsidRPr="009A65D2">
        <w:rPr>
          <w:sz w:val="20"/>
          <w:szCs w:val="20"/>
          <w:lang w:val="es-AR"/>
        </w:rPr>
        <w:t>Los principales eventos cíclicos que tendrán lugar en 2018 (La Copa del Mundo en Rusia, las elecciones intermedias en EEUU, los Juegos Olímpicos de invierno en Corea del Sur) contribuir</w:t>
      </w:r>
      <w:r>
        <w:rPr>
          <w:sz w:val="20"/>
          <w:szCs w:val="20"/>
          <w:lang w:val="es-AR"/>
        </w:rPr>
        <w:t xml:space="preserve">án en un punto al crecimiento publicitario global. </w:t>
      </w:r>
      <w:r w:rsidRPr="009A65D2">
        <w:rPr>
          <w:sz w:val="20"/>
          <w:szCs w:val="20"/>
          <w:lang w:val="es-AR"/>
        </w:rPr>
        <w:t xml:space="preserve">Si no tomamos en cuenta los efectos cíclicos, el crecimiento publicitario subyacente sería de </w:t>
      </w:r>
      <w:r w:rsidR="008C13B4" w:rsidRPr="009A65D2">
        <w:rPr>
          <w:sz w:val="20"/>
          <w:szCs w:val="20"/>
          <w:lang w:val="es-AR"/>
        </w:rPr>
        <w:t>+4</w:t>
      </w:r>
      <w:r w:rsidRPr="009A65D2">
        <w:rPr>
          <w:sz w:val="20"/>
          <w:szCs w:val="20"/>
          <w:lang w:val="es-AR"/>
        </w:rPr>
        <w:t>,</w:t>
      </w:r>
      <w:r w:rsidR="008C13B4" w:rsidRPr="009A65D2">
        <w:rPr>
          <w:sz w:val="20"/>
          <w:szCs w:val="20"/>
          <w:lang w:val="es-AR"/>
        </w:rPr>
        <w:t>1</w:t>
      </w:r>
      <w:r w:rsidR="001B3E7E" w:rsidRPr="009A65D2">
        <w:rPr>
          <w:sz w:val="20"/>
          <w:szCs w:val="20"/>
          <w:lang w:val="es-AR"/>
        </w:rPr>
        <w:t xml:space="preserve">% </w:t>
      </w:r>
      <w:r w:rsidRPr="009A65D2">
        <w:rPr>
          <w:sz w:val="20"/>
          <w:szCs w:val="20"/>
          <w:lang w:val="es-AR"/>
        </w:rPr>
        <w:t>e</w:t>
      </w:r>
      <w:r w:rsidR="001B3E7E" w:rsidRPr="009A65D2">
        <w:rPr>
          <w:sz w:val="20"/>
          <w:szCs w:val="20"/>
          <w:lang w:val="es-AR"/>
        </w:rPr>
        <w:t>n 2018</w:t>
      </w:r>
      <w:r w:rsidRPr="009A65D2">
        <w:rPr>
          <w:sz w:val="20"/>
          <w:szCs w:val="20"/>
          <w:lang w:val="es-AR"/>
        </w:rPr>
        <w:t xml:space="preserve">, comparado con el </w:t>
      </w:r>
      <w:r w:rsidR="008C13B4" w:rsidRPr="009A65D2">
        <w:rPr>
          <w:sz w:val="20"/>
          <w:szCs w:val="20"/>
          <w:lang w:val="es-AR"/>
        </w:rPr>
        <w:t>+5</w:t>
      </w:r>
      <w:r w:rsidRPr="009A65D2">
        <w:rPr>
          <w:sz w:val="20"/>
          <w:szCs w:val="20"/>
          <w:lang w:val="es-AR"/>
        </w:rPr>
        <w:t>,</w:t>
      </w:r>
      <w:r w:rsidR="008C13B4" w:rsidRPr="009A65D2">
        <w:rPr>
          <w:sz w:val="20"/>
          <w:szCs w:val="20"/>
          <w:lang w:val="es-AR"/>
        </w:rPr>
        <w:t>1</w:t>
      </w:r>
      <w:r w:rsidR="001B3E7E" w:rsidRPr="009A65D2">
        <w:rPr>
          <w:sz w:val="20"/>
          <w:szCs w:val="20"/>
          <w:lang w:val="es-AR"/>
        </w:rPr>
        <w:t xml:space="preserve">% </w:t>
      </w:r>
      <w:r w:rsidRPr="009A65D2">
        <w:rPr>
          <w:sz w:val="20"/>
          <w:szCs w:val="20"/>
          <w:lang w:val="es-AR"/>
        </w:rPr>
        <w:t>e</w:t>
      </w:r>
      <w:r w:rsidR="001B3E7E" w:rsidRPr="009A65D2">
        <w:rPr>
          <w:sz w:val="20"/>
          <w:szCs w:val="20"/>
          <w:lang w:val="es-AR"/>
        </w:rPr>
        <w:t>n 2017</w:t>
      </w:r>
      <w:r w:rsidR="008C13B4" w:rsidRPr="009A65D2">
        <w:rPr>
          <w:sz w:val="20"/>
          <w:szCs w:val="20"/>
          <w:lang w:val="es-AR"/>
        </w:rPr>
        <w:t xml:space="preserve"> </w:t>
      </w:r>
      <w:r w:rsidRPr="009A65D2">
        <w:rPr>
          <w:sz w:val="20"/>
          <w:szCs w:val="20"/>
          <w:lang w:val="es-AR"/>
        </w:rPr>
        <w:t>y</w:t>
      </w:r>
      <w:r w:rsidR="008C13B4" w:rsidRPr="009A65D2">
        <w:rPr>
          <w:sz w:val="20"/>
          <w:szCs w:val="20"/>
          <w:lang w:val="es-AR"/>
        </w:rPr>
        <w:t xml:space="preserve"> +4</w:t>
      </w:r>
      <w:r w:rsidRPr="009A65D2">
        <w:rPr>
          <w:sz w:val="20"/>
          <w:szCs w:val="20"/>
          <w:lang w:val="es-AR"/>
        </w:rPr>
        <w:t>,</w:t>
      </w:r>
      <w:r w:rsidR="008C13B4" w:rsidRPr="009A65D2">
        <w:rPr>
          <w:sz w:val="20"/>
          <w:szCs w:val="20"/>
          <w:lang w:val="es-AR"/>
        </w:rPr>
        <w:t xml:space="preserve">9% </w:t>
      </w:r>
      <w:r w:rsidRPr="009A65D2">
        <w:rPr>
          <w:sz w:val="20"/>
          <w:szCs w:val="20"/>
          <w:lang w:val="es-AR"/>
        </w:rPr>
        <w:t>e</w:t>
      </w:r>
      <w:r w:rsidR="008C13B4" w:rsidRPr="009A65D2">
        <w:rPr>
          <w:sz w:val="20"/>
          <w:szCs w:val="20"/>
          <w:lang w:val="es-AR"/>
        </w:rPr>
        <w:t>n 2016</w:t>
      </w:r>
      <w:r w:rsidR="001B3E7E" w:rsidRPr="009A65D2">
        <w:rPr>
          <w:sz w:val="20"/>
          <w:szCs w:val="20"/>
          <w:lang w:val="es-AR"/>
        </w:rPr>
        <w:t>.</w:t>
      </w:r>
      <w:r w:rsidR="008C13B4" w:rsidRPr="009A65D2">
        <w:rPr>
          <w:sz w:val="20"/>
          <w:szCs w:val="20"/>
          <w:lang w:val="es-AR"/>
        </w:rPr>
        <w:t xml:space="preserve"> </w:t>
      </w:r>
    </w:p>
    <w:p w14:paraId="69D7F448" w14:textId="75717FE6" w:rsidR="0031055A" w:rsidRPr="00E52614" w:rsidRDefault="009A65D2" w:rsidP="00805E69">
      <w:pPr>
        <w:pStyle w:val="ListParagraph"/>
        <w:numPr>
          <w:ilvl w:val="0"/>
          <w:numId w:val="18"/>
        </w:numPr>
        <w:spacing w:after="0" w:line="240" w:lineRule="auto"/>
        <w:contextualSpacing w:val="0"/>
        <w:jc w:val="both"/>
        <w:rPr>
          <w:sz w:val="20"/>
          <w:szCs w:val="20"/>
          <w:lang w:val="es-AR"/>
        </w:rPr>
      </w:pPr>
      <w:r w:rsidRPr="009A65D2">
        <w:rPr>
          <w:sz w:val="20"/>
          <w:szCs w:val="20"/>
          <w:lang w:val="es-AR"/>
        </w:rPr>
        <w:t xml:space="preserve">Las </w:t>
      </w:r>
      <w:r w:rsidR="0031055A" w:rsidRPr="009A65D2">
        <w:rPr>
          <w:b/>
          <w:sz w:val="20"/>
          <w:szCs w:val="20"/>
          <w:lang w:val="es-AR"/>
        </w:rPr>
        <w:t>region</w:t>
      </w:r>
      <w:r w:rsidRPr="009A65D2">
        <w:rPr>
          <w:b/>
          <w:sz w:val="20"/>
          <w:szCs w:val="20"/>
          <w:lang w:val="es-AR"/>
        </w:rPr>
        <w:t>e</w:t>
      </w:r>
      <w:r w:rsidR="007776EB" w:rsidRPr="009A65D2">
        <w:rPr>
          <w:b/>
          <w:sz w:val="20"/>
          <w:szCs w:val="20"/>
          <w:lang w:val="es-AR"/>
        </w:rPr>
        <w:t>s</w:t>
      </w:r>
      <w:r w:rsidRPr="009A65D2">
        <w:rPr>
          <w:b/>
          <w:sz w:val="20"/>
          <w:szCs w:val="20"/>
          <w:lang w:val="es-AR"/>
        </w:rPr>
        <w:t xml:space="preserve"> co</w:t>
      </w:r>
      <w:r w:rsidR="00802665">
        <w:rPr>
          <w:b/>
          <w:sz w:val="20"/>
          <w:szCs w:val="20"/>
          <w:lang w:val="es-AR"/>
        </w:rPr>
        <w:t>n</w:t>
      </w:r>
      <w:r w:rsidRPr="009A65D2">
        <w:rPr>
          <w:b/>
          <w:sz w:val="20"/>
          <w:szCs w:val="20"/>
          <w:lang w:val="es-AR"/>
        </w:rPr>
        <w:t xml:space="preserve"> mayor crecimiento</w:t>
      </w:r>
      <w:r w:rsidR="0031055A" w:rsidRPr="009A65D2">
        <w:rPr>
          <w:sz w:val="20"/>
          <w:szCs w:val="20"/>
          <w:lang w:val="es-AR"/>
        </w:rPr>
        <w:t xml:space="preserve"> </w:t>
      </w:r>
      <w:r w:rsidRPr="009A65D2">
        <w:rPr>
          <w:sz w:val="20"/>
          <w:szCs w:val="20"/>
          <w:lang w:val="es-AR"/>
        </w:rPr>
        <w:t>e</w:t>
      </w:r>
      <w:r w:rsidR="00040141" w:rsidRPr="009A65D2">
        <w:rPr>
          <w:sz w:val="20"/>
          <w:szCs w:val="20"/>
          <w:lang w:val="es-AR"/>
        </w:rPr>
        <w:t xml:space="preserve">n 2018 </w:t>
      </w:r>
      <w:r w:rsidRPr="009A65D2">
        <w:rPr>
          <w:sz w:val="20"/>
          <w:szCs w:val="20"/>
          <w:lang w:val="es-AR"/>
        </w:rPr>
        <w:t xml:space="preserve">serán Europa </w:t>
      </w:r>
      <w:r>
        <w:rPr>
          <w:sz w:val="20"/>
          <w:szCs w:val="20"/>
          <w:lang w:val="es-AR"/>
        </w:rPr>
        <w:t>c</w:t>
      </w:r>
      <w:r w:rsidRPr="009A65D2">
        <w:rPr>
          <w:sz w:val="20"/>
          <w:szCs w:val="20"/>
          <w:lang w:val="es-AR"/>
        </w:rPr>
        <w:t>entral</w:t>
      </w:r>
      <w:r>
        <w:rPr>
          <w:sz w:val="20"/>
          <w:szCs w:val="20"/>
          <w:lang w:val="es-AR"/>
        </w:rPr>
        <w:t xml:space="preserve"> y oriental </w:t>
      </w:r>
      <w:r w:rsidR="0031055A" w:rsidRPr="009A65D2">
        <w:rPr>
          <w:sz w:val="20"/>
          <w:szCs w:val="20"/>
          <w:lang w:val="es-AR"/>
        </w:rPr>
        <w:t>(+7</w:t>
      </w:r>
      <w:r>
        <w:rPr>
          <w:sz w:val="20"/>
          <w:szCs w:val="20"/>
          <w:lang w:val="es-AR"/>
        </w:rPr>
        <w:t>,</w:t>
      </w:r>
      <w:r w:rsidR="00CB0DA4">
        <w:rPr>
          <w:sz w:val="20"/>
          <w:szCs w:val="20"/>
          <w:lang w:val="es-AR"/>
        </w:rPr>
        <w:t>2%)</w:t>
      </w:r>
      <w:r w:rsidR="0031055A" w:rsidRPr="009A65D2">
        <w:rPr>
          <w:sz w:val="20"/>
          <w:szCs w:val="20"/>
          <w:lang w:val="es-AR"/>
        </w:rPr>
        <w:t xml:space="preserve"> </w:t>
      </w:r>
      <w:r>
        <w:rPr>
          <w:sz w:val="20"/>
          <w:szCs w:val="20"/>
          <w:lang w:val="es-AR"/>
        </w:rPr>
        <w:t>y América Latina</w:t>
      </w:r>
      <w:r w:rsidR="0031055A" w:rsidRPr="009A65D2">
        <w:rPr>
          <w:sz w:val="20"/>
          <w:szCs w:val="20"/>
          <w:lang w:val="es-AR"/>
        </w:rPr>
        <w:t xml:space="preserve"> (+</w:t>
      </w:r>
      <w:r w:rsidR="00D72231" w:rsidRPr="009A65D2">
        <w:rPr>
          <w:sz w:val="20"/>
          <w:szCs w:val="20"/>
          <w:lang w:val="es-AR"/>
        </w:rPr>
        <w:t>9</w:t>
      </w:r>
      <w:r>
        <w:rPr>
          <w:sz w:val="20"/>
          <w:szCs w:val="20"/>
          <w:lang w:val="es-AR"/>
        </w:rPr>
        <w:t>,</w:t>
      </w:r>
      <w:r w:rsidR="00D72231" w:rsidRPr="009A65D2">
        <w:rPr>
          <w:sz w:val="20"/>
          <w:szCs w:val="20"/>
          <w:lang w:val="es-AR"/>
        </w:rPr>
        <w:t>3</w:t>
      </w:r>
      <w:r w:rsidR="0031055A" w:rsidRPr="009A65D2">
        <w:rPr>
          <w:sz w:val="20"/>
          <w:szCs w:val="20"/>
          <w:lang w:val="es-AR"/>
        </w:rPr>
        <w:t>%)</w:t>
      </w:r>
      <w:r w:rsidR="006704C9" w:rsidRPr="009A65D2">
        <w:rPr>
          <w:sz w:val="20"/>
          <w:szCs w:val="20"/>
          <w:lang w:val="es-AR"/>
        </w:rPr>
        <w:t xml:space="preserve">, </w:t>
      </w:r>
      <w:r>
        <w:rPr>
          <w:sz w:val="20"/>
          <w:szCs w:val="20"/>
          <w:lang w:val="es-AR"/>
        </w:rPr>
        <w:t xml:space="preserve">seguido por la región de </w:t>
      </w:r>
      <w:r w:rsidR="006704C9" w:rsidRPr="009A65D2">
        <w:rPr>
          <w:sz w:val="20"/>
          <w:szCs w:val="20"/>
          <w:lang w:val="es-AR"/>
        </w:rPr>
        <w:t>APAC (+5</w:t>
      </w:r>
      <w:r>
        <w:rPr>
          <w:sz w:val="20"/>
          <w:szCs w:val="20"/>
          <w:lang w:val="es-AR"/>
        </w:rPr>
        <w:t>,</w:t>
      </w:r>
      <w:r w:rsidR="006704C9" w:rsidRPr="009A65D2">
        <w:rPr>
          <w:sz w:val="20"/>
          <w:szCs w:val="20"/>
          <w:lang w:val="es-AR"/>
        </w:rPr>
        <w:t>9</w:t>
      </w:r>
      <w:r w:rsidR="0031055A" w:rsidRPr="009A65D2">
        <w:rPr>
          <w:sz w:val="20"/>
          <w:szCs w:val="20"/>
          <w:lang w:val="es-AR"/>
        </w:rPr>
        <w:t>%)</w:t>
      </w:r>
      <w:r w:rsidR="00040141" w:rsidRPr="009A65D2">
        <w:rPr>
          <w:sz w:val="20"/>
          <w:szCs w:val="20"/>
          <w:lang w:val="es-AR"/>
        </w:rPr>
        <w:t xml:space="preserve"> </w:t>
      </w:r>
      <w:r>
        <w:rPr>
          <w:sz w:val="20"/>
          <w:szCs w:val="20"/>
          <w:lang w:val="es-AR"/>
        </w:rPr>
        <w:t>y América del Norte</w:t>
      </w:r>
      <w:r w:rsidR="00040141" w:rsidRPr="009A65D2">
        <w:rPr>
          <w:sz w:val="20"/>
          <w:szCs w:val="20"/>
          <w:lang w:val="es-AR"/>
        </w:rPr>
        <w:t xml:space="preserve"> (+</w:t>
      </w:r>
      <w:r w:rsidR="00D72231" w:rsidRPr="009A65D2">
        <w:rPr>
          <w:sz w:val="20"/>
          <w:szCs w:val="20"/>
          <w:lang w:val="es-AR"/>
        </w:rPr>
        <w:t>5</w:t>
      </w:r>
      <w:r>
        <w:rPr>
          <w:sz w:val="20"/>
          <w:szCs w:val="20"/>
          <w:lang w:val="es-AR"/>
        </w:rPr>
        <w:t>,</w:t>
      </w:r>
      <w:r w:rsidR="00D72231" w:rsidRPr="009A65D2">
        <w:rPr>
          <w:sz w:val="20"/>
          <w:szCs w:val="20"/>
          <w:lang w:val="es-AR"/>
        </w:rPr>
        <w:t>0</w:t>
      </w:r>
      <w:r w:rsidR="00040141" w:rsidRPr="009A65D2">
        <w:rPr>
          <w:sz w:val="20"/>
          <w:szCs w:val="20"/>
          <w:lang w:val="es-AR"/>
        </w:rPr>
        <w:t xml:space="preserve">%). </w:t>
      </w:r>
      <w:r w:rsidRPr="00E52614">
        <w:rPr>
          <w:sz w:val="20"/>
          <w:szCs w:val="20"/>
          <w:lang w:val="es-AR"/>
        </w:rPr>
        <w:t xml:space="preserve">Europa occidental sufrirá una desaceleración </w:t>
      </w:r>
      <w:r w:rsidR="00E52614" w:rsidRPr="00E52614">
        <w:rPr>
          <w:sz w:val="20"/>
          <w:szCs w:val="20"/>
          <w:lang w:val="es-AR"/>
        </w:rPr>
        <w:t xml:space="preserve">cercana al </w:t>
      </w:r>
      <w:r w:rsidR="00040141" w:rsidRPr="00E52614">
        <w:rPr>
          <w:sz w:val="20"/>
          <w:szCs w:val="20"/>
          <w:lang w:val="es-AR"/>
        </w:rPr>
        <w:t>+</w:t>
      </w:r>
      <w:r w:rsidR="006704C9" w:rsidRPr="00E52614">
        <w:rPr>
          <w:sz w:val="20"/>
          <w:szCs w:val="20"/>
          <w:lang w:val="es-AR"/>
        </w:rPr>
        <w:t>2</w:t>
      </w:r>
      <w:r w:rsidR="00E52614" w:rsidRPr="00E52614">
        <w:rPr>
          <w:sz w:val="20"/>
          <w:szCs w:val="20"/>
          <w:lang w:val="es-AR"/>
        </w:rPr>
        <w:t>,</w:t>
      </w:r>
      <w:r w:rsidR="00D72231" w:rsidRPr="00E52614">
        <w:rPr>
          <w:sz w:val="20"/>
          <w:szCs w:val="20"/>
          <w:lang w:val="es-AR"/>
        </w:rPr>
        <w:t>7</w:t>
      </w:r>
      <w:r w:rsidR="006704C9" w:rsidRPr="00E52614">
        <w:rPr>
          <w:sz w:val="20"/>
          <w:szCs w:val="20"/>
          <w:lang w:val="es-AR"/>
        </w:rPr>
        <w:t>% (2017: +3</w:t>
      </w:r>
      <w:r w:rsidR="00E52614" w:rsidRPr="00E52614">
        <w:rPr>
          <w:sz w:val="20"/>
          <w:szCs w:val="20"/>
          <w:lang w:val="es-AR"/>
        </w:rPr>
        <w:t>,</w:t>
      </w:r>
      <w:r w:rsidR="006704C9" w:rsidRPr="00E52614">
        <w:rPr>
          <w:sz w:val="20"/>
          <w:szCs w:val="20"/>
          <w:lang w:val="es-AR"/>
        </w:rPr>
        <w:t>4</w:t>
      </w:r>
      <w:r w:rsidR="00D72231" w:rsidRPr="00E52614">
        <w:rPr>
          <w:sz w:val="20"/>
          <w:szCs w:val="20"/>
          <w:lang w:val="es-AR"/>
        </w:rPr>
        <w:t>%</w:t>
      </w:r>
      <w:r w:rsidR="006704C9" w:rsidRPr="00E52614">
        <w:rPr>
          <w:sz w:val="20"/>
          <w:szCs w:val="20"/>
          <w:lang w:val="es-AR"/>
        </w:rPr>
        <w:t>, 2016: +4</w:t>
      </w:r>
      <w:r w:rsidR="00E52614" w:rsidRPr="00E52614">
        <w:rPr>
          <w:sz w:val="20"/>
          <w:szCs w:val="20"/>
          <w:lang w:val="es-AR"/>
        </w:rPr>
        <w:t>,</w:t>
      </w:r>
      <w:r w:rsidR="006704C9" w:rsidRPr="00E52614">
        <w:rPr>
          <w:sz w:val="20"/>
          <w:szCs w:val="20"/>
          <w:lang w:val="es-AR"/>
        </w:rPr>
        <w:t xml:space="preserve">3%) </w:t>
      </w:r>
      <w:r w:rsidR="00E52614" w:rsidRPr="00E52614">
        <w:rPr>
          <w:sz w:val="20"/>
          <w:szCs w:val="20"/>
          <w:lang w:val="es-AR"/>
        </w:rPr>
        <w:t xml:space="preserve">debido a </w:t>
      </w:r>
      <w:r w:rsidR="00E52614">
        <w:rPr>
          <w:sz w:val="20"/>
          <w:szCs w:val="20"/>
          <w:lang w:val="es-AR"/>
        </w:rPr>
        <w:t xml:space="preserve">que </w:t>
      </w:r>
      <w:r w:rsidR="00E52614" w:rsidRPr="00E52614">
        <w:rPr>
          <w:sz w:val="20"/>
          <w:szCs w:val="20"/>
          <w:lang w:val="es-AR"/>
        </w:rPr>
        <w:t>la incertidumbre pol</w:t>
      </w:r>
      <w:r w:rsidR="00E52614">
        <w:rPr>
          <w:sz w:val="20"/>
          <w:szCs w:val="20"/>
          <w:lang w:val="es-AR"/>
        </w:rPr>
        <w:t xml:space="preserve">ítica en el Reino Unido, España y Alemania podrían impactar negativamente </w:t>
      </w:r>
      <w:r w:rsidR="00CB0DA4">
        <w:rPr>
          <w:sz w:val="20"/>
          <w:szCs w:val="20"/>
          <w:lang w:val="es-AR"/>
        </w:rPr>
        <w:t xml:space="preserve">en </w:t>
      </w:r>
      <w:r w:rsidR="00E52614">
        <w:rPr>
          <w:sz w:val="20"/>
          <w:szCs w:val="20"/>
          <w:lang w:val="es-AR"/>
        </w:rPr>
        <w:t>la confianza comercial.</w:t>
      </w:r>
    </w:p>
    <w:p w14:paraId="488640A3" w14:textId="661269CD" w:rsidR="004B4156" w:rsidRPr="00E52614" w:rsidRDefault="007B5FB5" w:rsidP="00805E69">
      <w:pPr>
        <w:pStyle w:val="ListParagraph"/>
        <w:numPr>
          <w:ilvl w:val="0"/>
          <w:numId w:val="18"/>
        </w:numPr>
        <w:spacing w:after="0" w:line="240" w:lineRule="auto"/>
        <w:contextualSpacing w:val="0"/>
        <w:jc w:val="both"/>
        <w:rPr>
          <w:sz w:val="20"/>
          <w:szCs w:val="20"/>
          <w:lang w:val="es-AR"/>
        </w:rPr>
      </w:pPr>
      <w:r w:rsidRPr="00E52614">
        <w:rPr>
          <w:b/>
          <w:sz w:val="20"/>
          <w:szCs w:val="20"/>
          <w:lang w:val="es-AR"/>
        </w:rPr>
        <w:t>65</w:t>
      </w:r>
      <w:r w:rsidR="004B4156" w:rsidRPr="00E52614">
        <w:rPr>
          <w:b/>
          <w:sz w:val="20"/>
          <w:szCs w:val="20"/>
          <w:lang w:val="es-AR"/>
        </w:rPr>
        <w:t xml:space="preserve"> </w:t>
      </w:r>
      <w:r w:rsidR="00E52614" w:rsidRPr="00E52614">
        <w:rPr>
          <w:b/>
          <w:sz w:val="20"/>
          <w:szCs w:val="20"/>
          <w:lang w:val="es-AR"/>
        </w:rPr>
        <w:t xml:space="preserve">de los </w:t>
      </w:r>
      <w:r w:rsidR="004B4156" w:rsidRPr="00E52614">
        <w:rPr>
          <w:b/>
          <w:sz w:val="20"/>
          <w:szCs w:val="20"/>
          <w:lang w:val="es-AR"/>
        </w:rPr>
        <w:t xml:space="preserve">70 </w:t>
      </w:r>
      <w:r w:rsidR="00E52614" w:rsidRPr="00E52614">
        <w:rPr>
          <w:b/>
          <w:sz w:val="20"/>
          <w:szCs w:val="20"/>
          <w:lang w:val="es-AR"/>
        </w:rPr>
        <w:t>mercados</w:t>
      </w:r>
      <w:r w:rsidR="004B4156" w:rsidRPr="00E52614">
        <w:rPr>
          <w:sz w:val="20"/>
          <w:szCs w:val="20"/>
          <w:lang w:val="es-AR"/>
        </w:rPr>
        <w:t xml:space="preserve"> anal</w:t>
      </w:r>
      <w:r w:rsidR="00E52614" w:rsidRPr="00E52614">
        <w:rPr>
          <w:sz w:val="20"/>
          <w:szCs w:val="20"/>
          <w:lang w:val="es-AR"/>
        </w:rPr>
        <w:t xml:space="preserve">izados </w:t>
      </w:r>
      <w:r w:rsidR="00802665">
        <w:rPr>
          <w:sz w:val="20"/>
          <w:szCs w:val="20"/>
          <w:lang w:val="es-AR"/>
        </w:rPr>
        <w:t>p</w:t>
      </w:r>
      <w:r w:rsidR="00E52614" w:rsidRPr="00E52614">
        <w:rPr>
          <w:sz w:val="20"/>
          <w:szCs w:val="20"/>
          <w:lang w:val="es-AR"/>
        </w:rPr>
        <w:t xml:space="preserve">or MAGNA experimentaron </w:t>
      </w:r>
      <w:r w:rsidR="00CB0DA4">
        <w:rPr>
          <w:sz w:val="20"/>
          <w:szCs w:val="20"/>
          <w:lang w:val="es-AR"/>
        </w:rPr>
        <w:t>un cierto</w:t>
      </w:r>
      <w:r w:rsidR="00E52614" w:rsidRPr="00E52614">
        <w:rPr>
          <w:sz w:val="20"/>
          <w:szCs w:val="20"/>
          <w:lang w:val="es-AR"/>
        </w:rPr>
        <w:t xml:space="preserve"> nivel de crecimiento en 2017, mientras que los otros cinco tuvieron menores ventas publicitarias.</w:t>
      </w:r>
      <w:r w:rsidR="00D87CFC" w:rsidRPr="00E52614">
        <w:rPr>
          <w:sz w:val="20"/>
          <w:szCs w:val="20"/>
          <w:lang w:val="es-AR"/>
        </w:rPr>
        <w:t xml:space="preserve"> </w:t>
      </w:r>
      <w:r w:rsidR="00E52614">
        <w:rPr>
          <w:sz w:val="20"/>
          <w:szCs w:val="20"/>
          <w:lang w:val="es-AR"/>
        </w:rPr>
        <w:t>E</w:t>
      </w:r>
      <w:r w:rsidR="00E52614" w:rsidRPr="00E52614">
        <w:rPr>
          <w:sz w:val="20"/>
          <w:szCs w:val="20"/>
          <w:lang w:val="es-AR"/>
        </w:rPr>
        <w:t xml:space="preserve">n 2018 prevemos que solo un mercado (Singapur) pueda tener retroceso nuevamente. Dentro de los principales 20 mercados, </w:t>
      </w:r>
      <w:r w:rsidR="00E52614">
        <w:rPr>
          <w:sz w:val="20"/>
          <w:szCs w:val="20"/>
          <w:lang w:val="es-AR"/>
        </w:rPr>
        <w:t xml:space="preserve">se prevé que </w:t>
      </w:r>
      <w:r w:rsidR="00E52614" w:rsidRPr="00E52614">
        <w:rPr>
          <w:b/>
          <w:sz w:val="20"/>
          <w:szCs w:val="20"/>
          <w:lang w:val="es-AR"/>
        </w:rPr>
        <w:t xml:space="preserve">las mayores tasas de crecimiento estén en </w:t>
      </w:r>
      <w:r w:rsidR="00CB0DA4">
        <w:rPr>
          <w:b/>
          <w:sz w:val="20"/>
          <w:szCs w:val="20"/>
          <w:lang w:val="es-AR"/>
        </w:rPr>
        <w:t xml:space="preserve">la </w:t>
      </w:r>
      <w:r w:rsidR="00E52614" w:rsidRPr="00E52614">
        <w:rPr>
          <w:b/>
          <w:sz w:val="20"/>
          <w:szCs w:val="20"/>
          <w:lang w:val="es-AR"/>
        </w:rPr>
        <w:t>India</w:t>
      </w:r>
      <w:r w:rsidR="00E52614" w:rsidRPr="00E52614">
        <w:rPr>
          <w:sz w:val="20"/>
          <w:szCs w:val="20"/>
          <w:lang w:val="es-AR"/>
        </w:rPr>
        <w:t xml:space="preserve"> </w:t>
      </w:r>
      <w:r w:rsidR="00E60FD6" w:rsidRPr="00E52614">
        <w:rPr>
          <w:b/>
          <w:sz w:val="20"/>
          <w:szCs w:val="20"/>
          <w:lang w:val="es-AR"/>
        </w:rPr>
        <w:t xml:space="preserve">(+12%) </w:t>
      </w:r>
      <w:r w:rsidR="00E52614">
        <w:rPr>
          <w:b/>
          <w:sz w:val="20"/>
          <w:szCs w:val="20"/>
          <w:lang w:val="es-AR"/>
        </w:rPr>
        <w:t>y</w:t>
      </w:r>
      <w:r w:rsidR="00E60FD6" w:rsidRPr="00E52614">
        <w:rPr>
          <w:b/>
          <w:sz w:val="20"/>
          <w:szCs w:val="20"/>
          <w:lang w:val="es-AR"/>
        </w:rPr>
        <w:t xml:space="preserve"> </w:t>
      </w:r>
      <w:r w:rsidR="00E52614">
        <w:rPr>
          <w:b/>
          <w:sz w:val="20"/>
          <w:szCs w:val="20"/>
          <w:lang w:val="es-AR"/>
        </w:rPr>
        <w:t>Ru</w:t>
      </w:r>
      <w:r w:rsidR="004B4156" w:rsidRPr="00E52614">
        <w:rPr>
          <w:b/>
          <w:sz w:val="20"/>
          <w:szCs w:val="20"/>
          <w:lang w:val="es-AR"/>
        </w:rPr>
        <w:t>sia (+10%)</w:t>
      </w:r>
      <w:r w:rsidR="00D72231" w:rsidRPr="00E52614">
        <w:rPr>
          <w:sz w:val="20"/>
          <w:szCs w:val="20"/>
          <w:lang w:val="es-AR"/>
        </w:rPr>
        <w:t xml:space="preserve">. China </w:t>
      </w:r>
      <w:r w:rsidR="00E52614" w:rsidRPr="00E52614">
        <w:rPr>
          <w:sz w:val="20"/>
          <w:szCs w:val="20"/>
          <w:lang w:val="es-AR"/>
        </w:rPr>
        <w:t xml:space="preserve">también se mantiene sólida </w:t>
      </w:r>
      <w:r w:rsidR="00E60FD6" w:rsidRPr="00E52614">
        <w:rPr>
          <w:sz w:val="20"/>
          <w:szCs w:val="20"/>
          <w:lang w:val="es-AR"/>
        </w:rPr>
        <w:t>(+9%)</w:t>
      </w:r>
      <w:r w:rsidR="007776EB" w:rsidRPr="00E52614">
        <w:rPr>
          <w:sz w:val="20"/>
          <w:szCs w:val="20"/>
          <w:lang w:val="es-AR"/>
        </w:rPr>
        <w:t xml:space="preserve"> </w:t>
      </w:r>
      <w:r w:rsidR="00E52614" w:rsidRPr="00E52614">
        <w:rPr>
          <w:sz w:val="20"/>
          <w:szCs w:val="20"/>
          <w:lang w:val="es-AR"/>
        </w:rPr>
        <w:t>a pesar de sufrir cierta desaceleraci</w:t>
      </w:r>
      <w:r w:rsidR="00E52614">
        <w:rPr>
          <w:sz w:val="20"/>
          <w:szCs w:val="20"/>
          <w:lang w:val="es-AR"/>
        </w:rPr>
        <w:t xml:space="preserve">ón en  la inversión vertical </w:t>
      </w:r>
      <w:r w:rsidR="00E60FD6" w:rsidRPr="00E52614">
        <w:rPr>
          <w:sz w:val="20"/>
          <w:szCs w:val="20"/>
          <w:lang w:val="es-AR"/>
        </w:rPr>
        <w:t>(</w:t>
      </w:r>
      <w:r w:rsidR="00E52614">
        <w:rPr>
          <w:sz w:val="20"/>
          <w:szCs w:val="20"/>
          <w:lang w:val="es-AR"/>
        </w:rPr>
        <w:t>p.e</w:t>
      </w:r>
      <w:r w:rsidR="00802665">
        <w:rPr>
          <w:sz w:val="20"/>
          <w:szCs w:val="20"/>
          <w:lang w:val="es-AR"/>
        </w:rPr>
        <w:t>.</w:t>
      </w:r>
      <w:r w:rsidR="00E52614">
        <w:rPr>
          <w:sz w:val="20"/>
          <w:szCs w:val="20"/>
          <w:lang w:val="es-AR"/>
        </w:rPr>
        <w:t xml:space="preserve"> automotriz)</w:t>
      </w:r>
      <w:r w:rsidR="004B4156" w:rsidRPr="00E52614">
        <w:rPr>
          <w:sz w:val="20"/>
          <w:szCs w:val="20"/>
          <w:lang w:val="es-AR"/>
        </w:rPr>
        <w:t>.</w:t>
      </w:r>
    </w:p>
    <w:p w14:paraId="6F80FA26" w14:textId="4B6C1B5C" w:rsidR="00A122E5" w:rsidRPr="003D27BF" w:rsidRDefault="00E52614" w:rsidP="00805E69">
      <w:pPr>
        <w:pStyle w:val="ListParagraph"/>
        <w:numPr>
          <w:ilvl w:val="0"/>
          <w:numId w:val="18"/>
        </w:numPr>
        <w:spacing w:after="0" w:line="240" w:lineRule="auto"/>
        <w:contextualSpacing w:val="0"/>
        <w:jc w:val="both"/>
        <w:rPr>
          <w:sz w:val="20"/>
          <w:szCs w:val="20"/>
          <w:lang w:val="es-AR"/>
        </w:rPr>
      </w:pPr>
      <w:r w:rsidRPr="00E52614">
        <w:rPr>
          <w:b/>
          <w:sz w:val="20"/>
          <w:szCs w:val="20"/>
          <w:lang w:val="es-AR"/>
        </w:rPr>
        <w:t>Los ingresos publicitarios en televisi</w:t>
      </w:r>
      <w:r w:rsidR="00802665">
        <w:rPr>
          <w:b/>
          <w:sz w:val="20"/>
          <w:szCs w:val="20"/>
          <w:lang w:val="es-AR"/>
        </w:rPr>
        <w:t>ó</w:t>
      </w:r>
      <w:r w:rsidRPr="00E52614">
        <w:rPr>
          <w:b/>
          <w:sz w:val="20"/>
          <w:szCs w:val="20"/>
          <w:lang w:val="es-AR"/>
        </w:rPr>
        <w:t xml:space="preserve">n lineal tendrán un crecimiento nuevamente en 2018 </w:t>
      </w:r>
      <w:r w:rsidR="00A603AA" w:rsidRPr="00E52614">
        <w:rPr>
          <w:b/>
          <w:sz w:val="20"/>
          <w:szCs w:val="20"/>
          <w:lang w:val="es-AR"/>
        </w:rPr>
        <w:t>(+2</w:t>
      </w:r>
      <w:r w:rsidRPr="00E52614">
        <w:rPr>
          <w:b/>
          <w:sz w:val="20"/>
          <w:szCs w:val="20"/>
          <w:lang w:val="es-AR"/>
        </w:rPr>
        <w:t>,</w:t>
      </w:r>
      <w:r w:rsidR="00A603AA" w:rsidRPr="00E52614">
        <w:rPr>
          <w:b/>
          <w:sz w:val="20"/>
          <w:szCs w:val="20"/>
          <w:lang w:val="es-AR"/>
        </w:rPr>
        <w:t>5%</w:t>
      </w:r>
      <w:r w:rsidR="00A122E5" w:rsidRPr="00E52614">
        <w:rPr>
          <w:b/>
          <w:sz w:val="20"/>
          <w:szCs w:val="20"/>
          <w:lang w:val="es-AR"/>
        </w:rPr>
        <w:t xml:space="preserve"> </w:t>
      </w:r>
      <w:r w:rsidRPr="00E52614">
        <w:rPr>
          <w:b/>
          <w:sz w:val="20"/>
          <w:szCs w:val="20"/>
          <w:lang w:val="es-AR"/>
        </w:rPr>
        <w:t xml:space="preserve">alcanzando los </w:t>
      </w:r>
      <w:r w:rsidR="00A122E5" w:rsidRPr="00E52614">
        <w:rPr>
          <w:b/>
          <w:sz w:val="20"/>
          <w:szCs w:val="20"/>
          <w:lang w:val="es-AR"/>
        </w:rPr>
        <w:t xml:space="preserve">183 </w:t>
      </w:r>
      <w:r w:rsidRPr="00E52614">
        <w:rPr>
          <w:b/>
          <w:sz w:val="20"/>
          <w:szCs w:val="20"/>
          <w:lang w:val="es-AR"/>
        </w:rPr>
        <w:t>mil millones de dólares</w:t>
      </w:r>
      <w:r w:rsidR="00A603AA" w:rsidRPr="00E52614">
        <w:rPr>
          <w:b/>
          <w:sz w:val="20"/>
          <w:szCs w:val="20"/>
          <w:lang w:val="es-AR"/>
        </w:rPr>
        <w:t>)</w:t>
      </w:r>
      <w:r w:rsidR="00A603AA" w:rsidRPr="00E52614">
        <w:rPr>
          <w:sz w:val="20"/>
          <w:szCs w:val="20"/>
          <w:lang w:val="es-AR"/>
        </w:rPr>
        <w:t xml:space="preserve"> </w:t>
      </w:r>
      <w:r w:rsidRPr="00E52614">
        <w:rPr>
          <w:sz w:val="20"/>
          <w:szCs w:val="20"/>
          <w:lang w:val="es-AR"/>
        </w:rPr>
        <w:t>gracias al retorno de los eventos cíclicos</w:t>
      </w:r>
      <w:r w:rsidR="00A603AA" w:rsidRPr="00E52614">
        <w:rPr>
          <w:sz w:val="20"/>
          <w:szCs w:val="20"/>
          <w:lang w:val="es-AR"/>
        </w:rPr>
        <w:t xml:space="preserve"> </w:t>
      </w:r>
      <w:r w:rsidR="00A122E5" w:rsidRPr="00E52614">
        <w:rPr>
          <w:sz w:val="20"/>
          <w:szCs w:val="20"/>
          <w:lang w:val="es-AR"/>
        </w:rPr>
        <w:t>(</w:t>
      </w:r>
      <w:r>
        <w:rPr>
          <w:sz w:val="20"/>
          <w:szCs w:val="20"/>
          <w:lang w:val="es-AR"/>
        </w:rPr>
        <w:t>que generarán casi 5 mil millones de dólares de inversión publicitaria incremental</w:t>
      </w:r>
      <w:r w:rsidR="00A122E5" w:rsidRPr="00E52614">
        <w:rPr>
          <w:sz w:val="20"/>
          <w:szCs w:val="20"/>
          <w:lang w:val="es-AR"/>
        </w:rPr>
        <w:t>)</w:t>
      </w:r>
      <w:r w:rsidR="004B4156" w:rsidRPr="00E52614">
        <w:rPr>
          <w:sz w:val="20"/>
          <w:szCs w:val="20"/>
          <w:lang w:val="es-AR"/>
        </w:rPr>
        <w:t xml:space="preserve"> </w:t>
      </w:r>
      <w:r>
        <w:rPr>
          <w:sz w:val="20"/>
          <w:szCs w:val="20"/>
          <w:lang w:val="es-AR"/>
        </w:rPr>
        <w:t>y a pesar de la erosión en la audiencia y el rating –que poco se compensa con la inflación del CPM</w:t>
      </w:r>
      <w:r w:rsidR="004B4156" w:rsidRPr="00E52614">
        <w:rPr>
          <w:sz w:val="20"/>
          <w:szCs w:val="20"/>
          <w:lang w:val="es-AR"/>
        </w:rPr>
        <w:t>.</w:t>
      </w:r>
      <w:r w:rsidR="00A603AA" w:rsidRPr="00E52614">
        <w:rPr>
          <w:sz w:val="20"/>
          <w:szCs w:val="20"/>
          <w:lang w:val="es-AR"/>
        </w:rPr>
        <w:t xml:space="preserve"> </w:t>
      </w:r>
      <w:r w:rsidRPr="00E52614">
        <w:rPr>
          <w:sz w:val="20"/>
          <w:szCs w:val="20"/>
          <w:lang w:val="es-AR"/>
        </w:rPr>
        <w:t>Sin las ventas publicitarias incrementales de los años pares, la televisi</w:t>
      </w:r>
      <w:r w:rsidR="00802665">
        <w:rPr>
          <w:sz w:val="20"/>
          <w:szCs w:val="20"/>
          <w:lang w:val="es-AR"/>
        </w:rPr>
        <w:t>ó</w:t>
      </w:r>
      <w:r w:rsidRPr="00E52614">
        <w:rPr>
          <w:sz w:val="20"/>
          <w:szCs w:val="20"/>
          <w:lang w:val="es-AR"/>
        </w:rPr>
        <w:t xml:space="preserve">n debería mantenerse sin cambios al año que viene (-0,1%) </w:t>
      </w:r>
      <w:r w:rsidR="003D27BF">
        <w:rPr>
          <w:sz w:val="20"/>
          <w:szCs w:val="20"/>
          <w:lang w:val="es-AR"/>
        </w:rPr>
        <w:t xml:space="preserve">en vez de tener un incremento del </w:t>
      </w:r>
      <w:r w:rsidR="00A122E5" w:rsidRPr="00E52614">
        <w:rPr>
          <w:sz w:val="20"/>
          <w:szCs w:val="20"/>
          <w:lang w:val="es-AR"/>
        </w:rPr>
        <w:t>+2</w:t>
      </w:r>
      <w:r w:rsidR="003D27BF">
        <w:rPr>
          <w:sz w:val="20"/>
          <w:szCs w:val="20"/>
          <w:lang w:val="es-AR"/>
        </w:rPr>
        <w:t>,</w:t>
      </w:r>
      <w:r w:rsidR="00A122E5" w:rsidRPr="00E52614">
        <w:rPr>
          <w:sz w:val="20"/>
          <w:szCs w:val="20"/>
          <w:lang w:val="es-AR"/>
        </w:rPr>
        <w:t xml:space="preserve">5%. </w:t>
      </w:r>
      <w:r w:rsidR="003D27BF" w:rsidRPr="003D27BF">
        <w:rPr>
          <w:sz w:val="20"/>
          <w:szCs w:val="20"/>
          <w:lang w:val="es-AR"/>
        </w:rPr>
        <w:t xml:space="preserve">El crecimiento plurianual normalizado de la TV está teniendo una desaceleración gradual, desde </w:t>
      </w:r>
      <w:r w:rsidR="00A122E5" w:rsidRPr="003D27BF">
        <w:rPr>
          <w:sz w:val="20"/>
          <w:szCs w:val="20"/>
          <w:lang w:val="es-AR"/>
        </w:rPr>
        <w:t>+0</w:t>
      </w:r>
      <w:r w:rsidR="003D27BF" w:rsidRPr="003D27BF">
        <w:rPr>
          <w:sz w:val="20"/>
          <w:szCs w:val="20"/>
          <w:lang w:val="es-AR"/>
        </w:rPr>
        <w:t>,</w:t>
      </w:r>
      <w:r w:rsidR="00A122E5" w:rsidRPr="003D27BF">
        <w:rPr>
          <w:sz w:val="20"/>
          <w:szCs w:val="20"/>
          <w:lang w:val="es-AR"/>
        </w:rPr>
        <w:t xml:space="preserve">8% </w:t>
      </w:r>
      <w:r w:rsidR="003D27BF" w:rsidRPr="003D27BF">
        <w:rPr>
          <w:sz w:val="20"/>
          <w:szCs w:val="20"/>
          <w:lang w:val="es-AR"/>
        </w:rPr>
        <w:t>e</w:t>
      </w:r>
      <w:r w:rsidR="00A122E5" w:rsidRPr="003D27BF">
        <w:rPr>
          <w:sz w:val="20"/>
          <w:szCs w:val="20"/>
          <w:lang w:val="es-AR"/>
        </w:rPr>
        <w:t xml:space="preserve">n 2016 </w:t>
      </w:r>
      <w:r w:rsidR="003D27BF" w:rsidRPr="003D27BF">
        <w:rPr>
          <w:sz w:val="20"/>
          <w:szCs w:val="20"/>
          <w:lang w:val="es-AR"/>
        </w:rPr>
        <w:t>y</w:t>
      </w:r>
      <w:r w:rsidR="00A122E5" w:rsidRPr="003D27BF">
        <w:rPr>
          <w:sz w:val="20"/>
          <w:szCs w:val="20"/>
          <w:lang w:val="es-AR"/>
        </w:rPr>
        <w:t xml:space="preserve"> +0</w:t>
      </w:r>
      <w:r w:rsidR="003D27BF" w:rsidRPr="003D27BF">
        <w:rPr>
          <w:sz w:val="20"/>
          <w:szCs w:val="20"/>
          <w:lang w:val="es-AR"/>
        </w:rPr>
        <w:t>,</w:t>
      </w:r>
      <w:r w:rsidR="00A122E5" w:rsidRPr="003D27BF">
        <w:rPr>
          <w:sz w:val="20"/>
          <w:szCs w:val="20"/>
          <w:lang w:val="es-AR"/>
        </w:rPr>
        <w:t xml:space="preserve">6% </w:t>
      </w:r>
      <w:r w:rsidR="003D27BF" w:rsidRPr="003D27BF">
        <w:rPr>
          <w:sz w:val="20"/>
          <w:szCs w:val="20"/>
          <w:lang w:val="es-AR"/>
        </w:rPr>
        <w:t>e</w:t>
      </w:r>
      <w:r w:rsidR="00A122E5" w:rsidRPr="003D27BF">
        <w:rPr>
          <w:sz w:val="20"/>
          <w:szCs w:val="20"/>
          <w:lang w:val="es-AR"/>
        </w:rPr>
        <w:t xml:space="preserve">n 2017 </w:t>
      </w:r>
      <w:r w:rsidR="003D27BF" w:rsidRPr="003D27BF">
        <w:rPr>
          <w:sz w:val="20"/>
          <w:szCs w:val="20"/>
          <w:lang w:val="es-AR"/>
        </w:rPr>
        <w:t>, debido a que se acelera la erosi</w:t>
      </w:r>
      <w:r w:rsidR="003D27BF">
        <w:rPr>
          <w:sz w:val="20"/>
          <w:szCs w:val="20"/>
          <w:lang w:val="es-AR"/>
        </w:rPr>
        <w:t>ón de la audiencia y las alternativas digitales están cada vez más al alcance de los anunciantes</w:t>
      </w:r>
      <w:r w:rsidR="00A122E5" w:rsidRPr="003D27BF">
        <w:rPr>
          <w:sz w:val="20"/>
          <w:szCs w:val="20"/>
          <w:lang w:val="es-AR"/>
        </w:rPr>
        <w:t>.</w:t>
      </w:r>
    </w:p>
    <w:p w14:paraId="0215350E" w14:textId="609717A6" w:rsidR="006D33F0" w:rsidRPr="003D27BF" w:rsidRDefault="003D27BF" w:rsidP="00805E69">
      <w:pPr>
        <w:pStyle w:val="ListParagraph"/>
        <w:numPr>
          <w:ilvl w:val="0"/>
          <w:numId w:val="18"/>
        </w:numPr>
        <w:spacing w:after="0" w:line="240" w:lineRule="auto"/>
        <w:contextualSpacing w:val="0"/>
        <w:jc w:val="both"/>
        <w:rPr>
          <w:sz w:val="20"/>
          <w:szCs w:val="20"/>
          <w:lang w:val="es-AR"/>
        </w:rPr>
      </w:pPr>
      <w:r w:rsidRPr="003D27BF">
        <w:rPr>
          <w:b/>
          <w:sz w:val="20"/>
          <w:szCs w:val="20"/>
          <w:lang w:val="es-AR"/>
        </w:rPr>
        <w:t xml:space="preserve">Las ventas publicitarias para online y móvil </w:t>
      </w:r>
      <w:r w:rsidR="00BE1597" w:rsidRPr="003D27BF">
        <w:rPr>
          <w:b/>
          <w:sz w:val="20"/>
          <w:szCs w:val="20"/>
          <w:lang w:val="es-AR"/>
        </w:rPr>
        <w:t xml:space="preserve">(display, video, search, social) </w:t>
      </w:r>
      <w:r w:rsidRPr="003D27BF">
        <w:rPr>
          <w:b/>
          <w:sz w:val="20"/>
          <w:szCs w:val="20"/>
          <w:lang w:val="es-AR"/>
        </w:rPr>
        <w:t xml:space="preserve">tendrán un crecimiento de </w:t>
      </w:r>
      <w:r w:rsidR="009F186A" w:rsidRPr="003D27BF">
        <w:rPr>
          <w:b/>
          <w:sz w:val="20"/>
          <w:szCs w:val="20"/>
          <w:lang w:val="es-AR"/>
        </w:rPr>
        <w:t>+</w:t>
      </w:r>
      <w:r w:rsidR="004B4156" w:rsidRPr="003D27BF">
        <w:rPr>
          <w:b/>
          <w:sz w:val="20"/>
          <w:szCs w:val="20"/>
          <w:lang w:val="es-AR"/>
        </w:rPr>
        <w:t>1</w:t>
      </w:r>
      <w:r w:rsidR="009F186A" w:rsidRPr="003D27BF">
        <w:rPr>
          <w:b/>
          <w:sz w:val="20"/>
          <w:szCs w:val="20"/>
          <w:lang w:val="es-AR"/>
        </w:rPr>
        <w:t>3</w:t>
      </w:r>
      <w:r w:rsidR="004B4156" w:rsidRPr="003D27BF">
        <w:rPr>
          <w:b/>
          <w:sz w:val="20"/>
          <w:szCs w:val="20"/>
          <w:lang w:val="es-AR"/>
        </w:rPr>
        <w:t xml:space="preserve">% </w:t>
      </w:r>
      <w:r w:rsidRPr="003D27BF">
        <w:rPr>
          <w:b/>
          <w:sz w:val="20"/>
          <w:szCs w:val="20"/>
          <w:lang w:val="es-AR"/>
        </w:rPr>
        <w:t xml:space="preserve">el año que viene alcanzando los </w:t>
      </w:r>
      <w:r w:rsidR="00AF1892" w:rsidRPr="003D27BF">
        <w:rPr>
          <w:b/>
          <w:sz w:val="20"/>
          <w:szCs w:val="20"/>
          <w:lang w:val="es-AR"/>
        </w:rPr>
        <w:t>23</w:t>
      </w:r>
      <w:r w:rsidR="00D72231" w:rsidRPr="003D27BF">
        <w:rPr>
          <w:b/>
          <w:sz w:val="20"/>
          <w:szCs w:val="20"/>
          <w:lang w:val="es-AR"/>
        </w:rPr>
        <w:t>7</w:t>
      </w:r>
      <w:r w:rsidRPr="003D27BF">
        <w:rPr>
          <w:b/>
          <w:sz w:val="20"/>
          <w:szCs w:val="20"/>
          <w:lang w:val="es-AR"/>
        </w:rPr>
        <w:t xml:space="preserve"> mil millones de d</w:t>
      </w:r>
      <w:r>
        <w:rPr>
          <w:b/>
          <w:sz w:val="20"/>
          <w:szCs w:val="20"/>
          <w:lang w:val="es-AR"/>
        </w:rPr>
        <w:t>ólares</w:t>
      </w:r>
      <w:r w:rsidR="00AF1892" w:rsidRPr="003D27BF">
        <w:rPr>
          <w:b/>
          <w:sz w:val="20"/>
          <w:szCs w:val="20"/>
          <w:lang w:val="es-AR"/>
        </w:rPr>
        <w:t>,</w:t>
      </w:r>
      <w:r>
        <w:rPr>
          <w:sz w:val="20"/>
          <w:szCs w:val="20"/>
          <w:lang w:val="es-AR"/>
        </w:rPr>
        <w:t xml:space="preserve"> con apenas una mínima desaceleración desde el </w:t>
      </w:r>
      <w:r w:rsidR="00AF1892" w:rsidRPr="003D27BF">
        <w:rPr>
          <w:sz w:val="20"/>
          <w:szCs w:val="20"/>
          <w:lang w:val="es-AR"/>
        </w:rPr>
        <w:t>2017 (+17%)</w:t>
      </w:r>
      <w:r w:rsidR="00D72231" w:rsidRPr="003D27BF">
        <w:rPr>
          <w:sz w:val="20"/>
          <w:szCs w:val="20"/>
          <w:lang w:val="es-AR"/>
        </w:rPr>
        <w:t>,</w:t>
      </w:r>
      <w:r w:rsidR="004B4156" w:rsidRPr="003D27BF">
        <w:rPr>
          <w:sz w:val="20"/>
          <w:szCs w:val="20"/>
          <w:lang w:val="es-AR"/>
        </w:rPr>
        <w:t xml:space="preserve"> </w:t>
      </w:r>
      <w:r>
        <w:rPr>
          <w:sz w:val="20"/>
          <w:szCs w:val="20"/>
          <w:lang w:val="es-AR"/>
        </w:rPr>
        <w:t xml:space="preserve">mientras que las ventas publicitarias </w:t>
      </w:r>
      <w:r w:rsidR="004B4156" w:rsidRPr="003D27BF">
        <w:rPr>
          <w:i/>
          <w:sz w:val="20"/>
          <w:szCs w:val="20"/>
          <w:lang w:val="es-AR"/>
        </w:rPr>
        <w:t>offline</w:t>
      </w:r>
      <w:r w:rsidR="004B4156" w:rsidRPr="003D27BF">
        <w:rPr>
          <w:sz w:val="20"/>
          <w:szCs w:val="20"/>
          <w:lang w:val="es-AR"/>
        </w:rPr>
        <w:t xml:space="preserve"> (</w:t>
      </w:r>
      <w:r>
        <w:rPr>
          <w:sz w:val="20"/>
          <w:szCs w:val="20"/>
          <w:lang w:val="es-AR"/>
        </w:rPr>
        <w:t xml:space="preserve">televisión lineal, gráfica, radio, vía </w:t>
      </w:r>
      <w:r w:rsidR="00B36E34">
        <w:rPr>
          <w:sz w:val="20"/>
          <w:szCs w:val="20"/>
          <w:lang w:val="es-AR"/>
        </w:rPr>
        <w:t>pública</w:t>
      </w:r>
      <w:r w:rsidR="00AF1892" w:rsidRPr="003D27BF">
        <w:rPr>
          <w:sz w:val="20"/>
          <w:szCs w:val="20"/>
          <w:lang w:val="es-AR"/>
        </w:rPr>
        <w:t xml:space="preserve">) </w:t>
      </w:r>
      <w:r>
        <w:rPr>
          <w:sz w:val="20"/>
          <w:szCs w:val="20"/>
          <w:lang w:val="es-AR"/>
        </w:rPr>
        <w:t xml:space="preserve">tendrán una reducción de </w:t>
      </w:r>
      <w:r w:rsidR="00AF1892" w:rsidRPr="003D27BF">
        <w:rPr>
          <w:sz w:val="20"/>
          <w:szCs w:val="20"/>
          <w:lang w:val="es-AR"/>
        </w:rPr>
        <w:t>-0</w:t>
      </w:r>
      <w:r>
        <w:rPr>
          <w:sz w:val="20"/>
          <w:szCs w:val="20"/>
          <w:lang w:val="es-AR"/>
        </w:rPr>
        <w:t>,</w:t>
      </w:r>
      <w:r w:rsidR="00AF1892" w:rsidRPr="003D27BF">
        <w:rPr>
          <w:sz w:val="20"/>
          <w:szCs w:val="20"/>
          <w:lang w:val="es-AR"/>
        </w:rPr>
        <w:t xml:space="preserve">5% </w:t>
      </w:r>
      <w:r>
        <w:rPr>
          <w:sz w:val="20"/>
          <w:szCs w:val="20"/>
          <w:lang w:val="es-AR"/>
        </w:rPr>
        <w:t xml:space="preserve">alcanzando los </w:t>
      </w:r>
      <w:r w:rsidR="00AF1892" w:rsidRPr="003D27BF">
        <w:rPr>
          <w:sz w:val="20"/>
          <w:szCs w:val="20"/>
          <w:lang w:val="es-AR"/>
        </w:rPr>
        <w:t>298</w:t>
      </w:r>
      <w:r>
        <w:rPr>
          <w:sz w:val="20"/>
          <w:szCs w:val="20"/>
          <w:lang w:val="es-AR"/>
        </w:rPr>
        <w:t xml:space="preserve"> mil millones de dólares</w:t>
      </w:r>
      <w:r w:rsidR="0031055A" w:rsidRPr="003D27BF">
        <w:rPr>
          <w:sz w:val="20"/>
          <w:szCs w:val="20"/>
          <w:lang w:val="es-AR"/>
        </w:rPr>
        <w:t>.</w:t>
      </w:r>
      <w:r w:rsidR="006D33F0" w:rsidRPr="003D27BF">
        <w:rPr>
          <w:sz w:val="20"/>
          <w:szCs w:val="20"/>
          <w:lang w:val="es-AR"/>
        </w:rPr>
        <w:t xml:space="preserve"> </w:t>
      </w:r>
    </w:p>
    <w:p w14:paraId="17C47ED9" w14:textId="05DCDADE" w:rsidR="00AF1892" w:rsidRPr="003D27BF" w:rsidRDefault="003D27BF" w:rsidP="00805E69">
      <w:pPr>
        <w:pStyle w:val="ListParagraph"/>
        <w:numPr>
          <w:ilvl w:val="0"/>
          <w:numId w:val="18"/>
        </w:numPr>
        <w:spacing w:after="0" w:line="240" w:lineRule="auto"/>
        <w:contextualSpacing w:val="0"/>
        <w:jc w:val="both"/>
        <w:rPr>
          <w:sz w:val="20"/>
          <w:szCs w:val="20"/>
          <w:lang w:val="es-AR"/>
        </w:rPr>
      </w:pPr>
      <w:r w:rsidRPr="003D27BF">
        <w:rPr>
          <w:b/>
          <w:sz w:val="20"/>
          <w:szCs w:val="20"/>
          <w:lang w:val="es-AR"/>
        </w:rPr>
        <w:t>Vía Pública</w:t>
      </w:r>
      <w:r w:rsidR="006D33F0" w:rsidRPr="003D27BF">
        <w:rPr>
          <w:b/>
          <w:sz w:val="20"/>
          <w:szCs w:val="20"/>
          <w:lang w:val="es-AR"/>
        </w:rPr>
        <w:t xml:space="preserve"> </w:t>
      </w:r>
      <w:r w:rsidRPr="003D27BF">
        <w:rPr>
          <w:sz w:val="20"/>
          <w:szCs w:val="20"/>
          <w:lang w:val="es-AR"/>
        </w:rPr>
        <w:t>ser</w:t>
      </w:r>
      <w:r w:rsidR="00802665">
        <w:rPr>
          <w:sz w:val="20"/>
          <w:szCs w:val="20"/>
          <w:lang w:val="es-AR"/>
        </w:rPr>
        <w:t>á</w:t>
      </w:r>
      <w:r w:rsidRPr="003D27BF">
        <w:rPr>
          <w:sz w:val="20"/>
          <w:szCs w:val="20"/>
          <w:lang w:val="es-AR"/>
        </w:rPr>
        <w:t xml:space="preserve"> el único otro canal de medios offline con crecimiento para el 2018, junto a </w:t>
      </w:r>
      <w:r w:rsidR="006D33F0" w:rsidRPr="003D27BF">
        <w:rPr>
          <w:sz w:val="20"/>
          <w:szCs w:val="20"/>
          <w:lang w:val="es-AR"/>
        </w:rPr>
        <w:t xml:space="preserve">TV (+3% </w:t>
      </w:r>
      <w:r w:rsidRPr="003D27BF">
        <w:rPr>
          <w:sz w:val="20"/>
          <w:szCs w:val="20"/>
          <w:lang w:val="es-AR"/>
        </w:rPr>
        <w:t xml:space="preserve">alcanzando los </w:t>
      </w:r>
      <w:r w:rsidR="006D33F0" w:rsidRPr="003D27BF">
        <w:rPr>
          <w:sz w:val="20"/>
          <w:szCs w:val="20"/>
          <w:lang w:val="es-AR"/>
        </w:rPr>
        <w:t>33</w:t>
      </w:r>
      <w:r>
        <w:rPr>
          <w:sz w:val="20"/>
          <w:szCs w:val="20"/>
          <w:lang w:val="es-AR"/>
        </w:rPr>
        <w:t xml:space="preserve"> mil millones de dólares</w:t>
      </w:r>
      <w:r w:rsidR="006D33F0" w:rsidRPr="003D27BF">
        <w:rPr>
          <w:sz w:val="20"/>
          <w:szCs w:val="20"/>
          <w:lang w:val="es-AR"/>
        </w:rPr>
        <w:t xml:space="preserve">) </w:t>
      </w:r>
      <w:r>
        <w:rPr>
          <w:sz w:val="20"/>
          <w:szCs w:val="20"/>
          <w:lang w:val="es-AR"/>
        </w:rPr>
        <w:t xml:space="preserve">mientras que las ventas publicitarias en </w:t>
      </w:r>
      <w:r w:rsidRPr="003D27BF">
        <w:rPr>
          <w:b/>
          <w:sz w:val="20"/>
          <w:szCs w:val="20"/>
          <w:lang w:val="es-AR"/>
        </w:rPr>
        <w:t>gráfica</w:t>
      </w:r>
      <w:r>
        <w:rPr>
          <w:sz w:val="20"/>
          <w:szCs w:val="20"/>
          <w:lang w:val="es-AR"/>
        </w:rPr>
        <w:t xml:space="preserve"> tendrán una caída de </w:t>
      </w:r>
      <w:r w:rsidR="006D33F0" w:rsidRPr="003D27BF">
        <w:rPr>
          <w:sz w:val="20"/>
          <w:szCs w:val="20"/>
          <w:lang w:val="es-AR"/>
        </w:rPr>
        <w:t xml:space="preserve">-11% </w:t>
      </w:r>
      <w:r>
        <w:rPr>
          <w:sz w:val="20"/>
          <w:szCs w:val="20"/>
          <w:lang w:val="es-AR"/>
        </w:rPr>
        <w:t xml:space="preserve">alcanzando los </w:t>
      </w:r>
      <w:r w:rsidR="007B2A29" w:rsidRPr="003D27BF">
        <w:rPr>
          <w:sz w:val="20"/>
          <w:szCs w:val="20"/>
          <w:lang w:val="es-AR"/>
        </w:rPr>
        <w:t>5</w:t>
      </w:r>
      <w:r w:rsidR="006D33F0" w:rsidRPr="003D27BF">
        <w:rPr>
          <w:sz w:val="20"/>
          <w:szCs w:val="20"/>
          <w:lang w:val="es-AR"/>
        </w:rPr>
        <w:t>4</w:t>
      </w:r>
      <w:r>
        <w:rPr>
          <w:sz w:val="20"/>
          <w:szCs w:val="20"/>
          <w:lang w:val="es-AR"/>
        </w:rPr>
        <w:t xml:space="preserve"> mil millones de dó</w:t>
      </w:r>
      <w:r w:rsidR="00802665">
        <w:rPr>
          <w:sz w:val="20"/>
          <w:szCs w:val="20"/>
          <w:lang w:val="es-AR"/>
        </w:rPr>
        <w:t>la</w:t>
      </w:r>
      <w:r>
        <w:rPr>
          <w:sz w:val="20"/>
          <w:szCs w:val="20"/>
          <w:lang w:val="es-AR"/>
        </w:rPr>
        <w:t>res y los in</w:t>
      </w:r>
      <w:r w:rsidR="00802665">
        <w:rPr>
          <w:sz w:val="20"/>
          <w:szCs w:val="20"/>
          <w:lang w:val="es-AR"/>
        </w:rPr>
        <w:t>g</w:t>
      </w:r>
      <w:r>
        <w:rPr>
          <w:sz w:val="20"/>
          <w:szCs w:val="20"/>
          <w:lang w:val="es-AR"/>
        </w:rPr>
        <w:t xml:space="preserve">resos publicitarios en </w:t>
      </w:r>
      <w:r w:rsidR="006D33F0" w:rsidRPr="003D27BF">
        <w:rPr>
          <w:b/>
          <w:sz w:val="20"/>
          <w:szCs w:val="20"/>
          <w:lang w:val="es-AR"/>
        </w:rPr>
        <w:t>radio</w:t>
      </w:r>
      <w:r>
        <w:rPr>
          <w:b/>
          <w:sz w:val="20"/>
          <w:szCs w:val="20"/>
          <w:lang w:val="es-AR"/>
        </w:rPr>
        <w:t xml:space="preserve"> </w:t>
      </w:r>
      <w:r>
        <w:rPr>
          <w:sz w:val="20"/>
          <w:szCs w:val="20"/>
          <w:lang w:val="es-AR"/>
        </w:rPr>
        <w:t xml:space="preserve">verán una reducción del </w:t>
      </w:r>
      <w:r w:rsidR="006D33F0" w:rsidRPr="003D27BF">
        <w:rPr>
          <w:sz w:val="20"/>
          <w:szCs w:val="20"/>
          <w:lang w:val="es-AR"/>
        </w:rPr>
        <w:t xml:space="preserve">-2% </w:t>
      </w:r>
      <w:r>
        <w:rPr>
          <w:sz w:val="20"/>
          <w:szCs w:val="20"/>
          <w:lang w:val="es-AR"/>
        </w:rPr>
        <w:t>alcanzando los 2</w:t>
      </w:r>
      <w:r w:rsidR="006D33F0" w:rsidRPr="003D27BF">
        <w:rPr>
          <w:sz w:val="20"/>
          <w:szCs w:val="20"/>
          <w:lang w:val="es-AR"/>
        </w:rPr>
        <w:t>8</w:t>
      </w:r>
      <w:r>
        <w:rPr>
          <w:sz w:val="20"/>
          <w:szCs w:val="20"/>
          <w:lang w:val="es-AR"/>
        </w:rPr>
        <w:t xml:space="preserve"> mil millones de dólares</w:t>
      </w:r>
      <w:r w:rsidR="006D33F0" w:rsidRPr="003D27BF">
        <w:rPr>
          <w:sz w:val="20"/>
          <w:szCs w:val="20"/>
          <w:lang w:val="es-AR"/>
        </w:rPr>
        <w:t>.</w:t>
      </w:r>
    </w:p>
    <w:p w14:paraId="05ABEF36" w14:textId="144DF77F" w:rsidR="004B4156" w:rsidRPr="006D5614" w:rsidRDefault="003D27BF" w:rsidP="00805E69">
      <w:pPr>
        <w:pStyle w:val="ListParagraph"/>
        <w:numPr>
          <w:ilvl w:val="0"/>
          <w:numId w:val="18"/>
        </w:numPr>
        <w:spacing w:after="0" w:line="240" w:lineRule="auto"/>
        <w:contextualSpacing w:val="0"/>
        <w:jc w:val="both"/>
        <w:rPr>
          <w:sz w:val="20"/>
          <w:szCs w:val="20"/>
          <w:lang w:val="es-AR"/>
        </w:rPr>
      </w:pPr>
      <w:r w:rsidRPr="006D5614">
        <w:rPr>
          <w:b/>
          <w:sz w:val="20"/>
          <w:szCs w:val="20"/>
          <w:lang w:val="es-AR"/>
        </w:rPr>
        <w:lastRenderedPageBreak/>
        <w:t xml:space="preserve">Las ventas publicitarias digitales </w:t>
      </w:r>
      <w:r w:rsidR="00AF1892" w:rsidRPr="006D5614">
        <w:rPr>
          <w:sz w:val="20"/>
          <w:szCs w:val="20"/>
          <w:lang w:val="es-AR"/>
        </w:rPr>
        <w:t>su</w:t>
      </w:r>
      <w:r w:rsidRPr="006D5614">
        <w:rPr>
          <w:sz w:val="20"/>
          <w:szCs w:val="20"/>
          <w:lang w:val="es-AR"/>
        </w:rPr>
        <w:t>peraron a la televisi</w:t>
      </w:r>
      <w:r w:rsidR="00802665">
        <w:rPr>
          <w:sz w:val="20"/>
          <w:szCs w:val="20"/>
          <w:lang w:val="es-AR"/>
        </w:rPr>
        <w:t>ó</w:t>
      </w:r>
      <w:r w:rsidRPr="006D5614">
        <w:rPr>
          <w:sz w:val="20"/>
          <w:szCs w:val="20"/>
          <w:lang w:val="es-AR"/>
        </w:rPr>
        <w:t xml:space="preserve">n </w:t>
      </w:r>
      <w:r w:rsidR="006D5614" w:rsidRPr="006D5614">
        <w:rPr>
          <w:sz w:val="20"/>
          <w:szCs w:val="20"/>
          <w:lang w:val="es-AR"/>
        </w:rPr>
        <w:t>en 2017- como se hab</w:t>
      </w:r>
      <w:r w:rsidR="006D5614">
        <w:rPr>
          <w:sz w:val="20"/>
          <w:szCs w:val="20"/>
          <w:lang w:val="es-AR"/>
        </w:rPr>
        <w:t>ía previsto- alcanzando una participación de mercado del 41%</w:t>
      </w:r>
      <w:r w:rsidR="0061754F" w:rsidRPr="006D5614">
        <w:rPr>
          <w:sz w:val="20"/>
          <w:szCs w:val="20"/>
          <w:lang w:val="es-AR"/>
        </w:rPr>
        <w:t xml:space="preserve"> (compar</w:t>
      </w:r>
      <w:r w:rsidR="006D5614">
        <w:rPr>
          <w:sz w:val="20"/>
          <w:szCs w:val="20"/>
          <w:lang w:val="es-AR"/>
        </w:rPr>
        <w:t>ado con el 3</w:t>
      </w:r>
      <w:r w:rsidR="0061754F" w:rsidRPr="006D5614">
        <w:rPr>
          <w:sz w:val="20"/>
          <w:szCs w:val="20"/>
          <w:lang w:val="es-AR"/>
        </w:rPr>
        <w:t xml:space="preserve">5% </w:t>
      </w:r>
      <w:r w:rsidR="006D5614">
        <w:rPr>
          <w:sz w:val="20"/>
          <w:szCs w:val="20"/>
          <w:lang w:val="es-AR"/>
        </w:rPr>
        <w:t>para televisión lineal</w:t>
      </w:r>
      <w:r w:rsidR="0061754F" w:rsidRPr="006D5614">
        <w:rPr>
          <w:sz w:val="20"/>
          <w:szCs w:val="20"/>
          <w:lang w:val="es-AR"/>
        </w:rPr>
        <w:t>)</w:t>
      </w:r>
      <w:r w:rsidR="00265DE2" w:rsidRPr="006D5614">
        <w:rPr>
          <w:sz w:val="20"/>
          <w:szCs w:val="20"/>
          <w:lang w:val="es-AR"/>
        </w:rPr>
        <w:t xml:space="preserve">. </w:t>
      </w:r>
      <w:r w:rsidR="00AF1892" w:rsidRPr="006D5614">
        <w:rPr>
          <w:sz w:val="20"/>
          <w:szCs w:val="20"/>
          <w:lang w:val="es-AR"/>
        </w:rPr>
        <w:t xml:space="preserve">MAGNA </w:t>
      </w:r>
      <w:r w:rsidR="006D5614" w:rsidRPr="006D5614">
        <w:rPr>
          <w:sz w:val="20"/>
          <w:szCs w:val="20"/>
          <w:lang w:val="es-AR"/>
        </w:rPr>
        <w:t>prev</w:t>
      </w:r>
      <w:r w:rsidR="00802665">
        <w:rPr>
          <w:sz w:val="20"/>
          <w:szCs w:val="20"/>
          <w:lang w:val="es-AR"/>
        </w:rPr>
        <w:t>é</w:t>
      </w:r>
      <w:r w:rsidR="006D5614" w:rsidRPr="006D5614">
        <w:rPr>
          <w:sz w:val="20"/>
          <w:szCs w:val="20"/>
          <w:lang w:val="es-AR"/>
        </w:rPr>
        <w:t xml:space="preserve"> que las ventas en medios digitales alcanzar</w:t>
      </w:r>
      <w:r w:rsidR="006D5614">
        <w:rPr>
          <w:sz w:val="20"/>
          <w:szCs w:val="20"/>
          <w:lang w:val="es-AR"/>
        </w:rPr>
        <w:t xml:space="preserve">án un </w:t>
      </w:r>
      <w:r w:rsidR="00265DE2" w:rsidRPr="006D5614">
        <w:rPr>
          <w:sz w:val="20"/>
          <w:szCs w:val="20"/>
          <w:lang w:val="es-AR"/>
        </w:rPr>
        <w:t xml:space="preserve">44% </w:t>
      </w:r>
      <w:r w:rsidR="006D5614">
        <w:rPr>
          <w:sz w:val="20"/>
          <w:szCs w:val="20"/>
          <w:lang w:val="es-AR"/>
        </w:rPr>
        <w:t xml:space="preserve">del total de las ventas publicitarias en </w:t>
      </w:r>
      <w:r w:rsidR="00265DE2" w:rsidRPr="006D5614">
        <w:rPr>
          <w:sz w:val="20"/>
          <w:szCs w:val="20"/>
          <w:lang w:val="es-AR"/>
        </w:rPr>
        <w:t xml:space="preserve">2018 </w:t>
      </w:r>
      <w:r w:rsidR="006D5614">
        <w:rPr>
          <w:sz w:val="20"/>
          <w:szCs w:val="20"/>
          <w:lang w:val="es-AR"/>
        </w:rPr>
        <w:t>y</w:t>
      </w:r>
      <w:r w:rsidR="00265DE2" w:rsidRPr="006D5614">
        <w:rPr>
          <w:sz w:val="20"/>
          <w:szCs w:val="20"/>
          <w:lang w:val="es-AR"/>
        </w:rPr>
        <w:t xml:space="preserve"> </w:t>
      </w:r>
      <w:r w:rsidR="00265DE2" w:rsidRPr="006D5614">
        <w:rPr>
          <w:b/>
          <w:sz w:val="20"/>
          <w:szCs w:val="20"/>
          <w:lang w:val="es-AR"/>
        </w:rPr>
        <w:t xml:space="preserve">50% </w:t>
      </w:r>
      <w:r w:rsidR="006D5614">
        <w:rPr>
          <w:b/>
          <w:sz w:val="20"/>
          <w:szCs w:val="20"/>
          <w:lang w:val="es-AR"/>
        </w:rPr>
        <w:t>para el 2020 (</w:t>
      </w:r>
      <w:r w:rsidR="0031055A" w:rsidRPr="006D5614">
        <w:rPr>
          <w:b/>
          <w:sz w:val="20"/>
          <w:szCs w:val="20"/>
          <w:lang w:val="es-AR"/>
        </w:rPr>
        <w:t>291</w:t>
      </w:r>
      <w:r w:rsidR="006D5614">
        <w:rPr>
          <w:b/>
          <w:sz w:val="20"/>
          <w:szCs w:val="20"/>
          <w:lang w:val="es-AR"/>
        </w:rPr>
        <w:t xml:space="preserve"> mil millones de dólares</w:t>
      </w:r>
      <w:r w:rsidR="00AF1892" w:rsidRPr="006D5614">
        <w:rPr>
          <w:b/>
          <w:sz w:val="20"/>
          <w:szCs w:val="20"/>
          <w:lang w:val="es-AR"/>
        </w:rPr>
        <w:t>)</w:t>
      </w:r>
      <w:r w:rsidR="004B4156" w:rsidRPr="006D5614">
        <w:rPr>
          <w:sz w:val="20"/>
          <w:szCs w:val="20"/>
          <w:lang w:val="es-AR"/>
        </w:rPr>
        <w:t>.</w:t>
      </w:r>
    </w:p>
    <w:p w14:paraId="5D39D15F" w14:textId="30C890D9" w:rsidR="00201EFC" w:rsidRPr="006D5614" w:rsidRDefault="006D5614" w:rsidP="00805E69">
      <w:pPr>
        <w:pStyle w:val="ListParagraph"/>
        <w:numPr>
          <w:ilvl w:val="0"/>
          <w:numId w:val="18"/>
        </w:numPr>
        <w:spacing w:after="0" w:line="240" w:lineRule="auto"/>
        <w:contextualSpacing w:val="0"/>
        <w:jc w:val="both"/>
        <w:rPr>
          <w:sz w:val="20"/>
          <w:szCs w:val="20"/>
          <w:lang w:val="es-AR"/>
        </w:rPr>
      </w:pPr>
      <w:r w:rsidRPr="006D5614">
        <w:rPr>
          <w:sz w:val="20"/>
          <w:szCs w:val="20"/>
          <w:lang w:val="es-AR"/>
        </w:rPr>
        <w:t xml:space="preserve">Dentro de digital, </w:t>
      </w:r>
      <w:r w:rsidRPr="006D5614">
        <w:rPr>
          <w:b/>
          <w:sz w:val="20"/>
          <w:szCs w:val="20"/>
          <w:lang w:val="es-AR"/>
        </w:rPr>
        <w:t xml:space="preserve">la mayor parte de las ventas publicitarias </w:t>
      </w:r>
      <w:r w:rsidR="00201EFC" w:rsidRPr="006D5614">
        <w:rPr>
          <w:b/>
          <w:sz w:val="20"/>
          <w:szCs w:val="20"/>
          <w:lang w:val="es-AR"/>
        </w:rPr>
        <w:t xml:space="preserve">(55%) </w:t>
      </w:r>
      <w:r w:rsidRPr="006D5614">
        <w:rPr>
          <w:b/>
          <w:sz w:val="20"/>
          <w:szCs w:val="20"/>
          <w:lang w:val="es-AR"/>
        </w:rPr>
        <w:t xml:space="preserve">ahora son generadas por </w:t>
      </w:r>
      <w:r w:rsidR="00201EFC" w:rsidRPr="006D5614">
        <w:rPr>
          <w:sz w:val="20"/>
          <w:szCs w:val="20"/>
          <w:lang w:val="es-AR"/>
        </w:rPr>
        <w:t>im</w:t>
      </w:r>
      <w:r>
        <w:rPr>
          <w:sz w:val="20"/>
          <w:szCs w:val="20"/>
          <w:lang w:val="es-AR"/>
        </w:rPr>
        <w:t xml:space="preserve">presiones y clics </w:t>
      </w:r>
      <w:r w:rsidRPr="00CB0DA4">
        <w:rPr>
          <w:b/>
          <w:sz w:val="20"/>
          <w:szCs w:val="20"/>
          <w:lang w:val="es-AR"/>
        </w:rPr>
        <w:t>e</w:t>
      </w:r>
      <w:r w:rsidR="00201EFC" w:rsidRPr="006D5614">
        <w:rPr>
          <w:b/>
          <w:sz w:val="20"/>
          <w:szCs w:val="20"/>
          <w:lang w:val="es-AR"/>
        </w:rPr>
        <w:t xml:space="preserve">n </w:t>
      </w:r>
      <w:r>
        <w:rPr>
          <w:b/>
          <w:sz w:val="20"/>
          <w:szCs w:val="20"/>
          <w:lang w:val="es-AR"/>
        </w:rPr>
        <w:t>dispositivos móviles</w:t>
      </w:r>
      <w:r w:rsidR="00201EFC" w:rsidRPr="006D5614">
        <w:rPr>
          <w:sz w:val="20"/>
          <w:szCs w:val="20"/>
          <w:lang w:val="es-AR"/>
        </w:rPr>
        <w:t xml:space="preserve">. </w:t>
      </w:r>
      <w:r w:rsidRPr="006D5614">
        <w:rPr>
          <w:sz w:val="20"/>
          <w:szCs w:val="20"/>
          <w:lang w:val="es-AR"/>
        </w:rPr>
        <w:t>Las ventas publicitarias en móvil crecieron un +</w:t>
      </w:r>
      <w:r w:rsidR="00201EFC" w:rsidRPr="006D5614">
        <w:rPr>
          <w:sz w:val="20"/>
          <w:szCs w:val="20"/>
          <w:lang w:val="es-AR"/>
        </w:rPr>
        <w:t xml:space="preserve">39% </w:t>
      </w:r>
      <w:r w:rsidRPr="006D5614">
        <w:rPr>
          <w:sz w:val="20"/>
          <w:szCs w:val="20"/>
          <w:lang w:val="es-AR"/>
        </w:rPr>
        <w:t>en</w:t>
      </w:r>
      <w:r w:rsidR="00201EFC" w:rsidRPr="006D5614">
        <w:rPr>
          <w:sz w:val="20"/>
          <w:szCs w:val="20"/>
          <w:lang w:val="es-AR"/>
        </w:rPr>
        <w:t xml:space="preserve"> 2017 </w:t>
      </w:r>
      <w:r w:rsidRPr="006D5614">
        <w:rPr>
          <w:sz w:val="20"/>
          <w:szCs w:val="20"/>
          <w:lang w:val="es-AR"/>
        </w:rPr>
        <w:t>y crecer</w:t>
      </w:r>
      <w:r>
        <w:rPr>
          <w:sz w:val="20"/>
          <w:szCs w:val="20"/>
          <w:lang w:val="es-AR"/>
        </w:rPr>
        <w:t xml:space="preserve">án nuevamente </w:t>
      </w:r>
      <w:r w:rsidR="00201EFC" w:rsidRPr="006D5614">
        <w:rPr>
          <w:sz w:val="20"/>
          <w:szCs w:val="20"/>
          <w:lang w:val="es-AR"/>
        </w:rPr>
        <w:t xml:space="preserve">+27% </w:t>
      </w:r>
      <w:r>
        <w:rPr>
          <w:sz w:val="20"/>
          <w:szCs w:val="20"/>
          <w:lang w:val="es-AR"/>
        </w:rPr>
        <w:t>e</w:t>
      </w:r>
      <w:r w:rsidR="00201EFC" w:rsidRPr="006D5614">
        <w:rPr>
          <w:sz w:val="20"/>
          <w:szCs w:val="20"/>
          <w:lang w:val="es-AR"/>
        </w:rPr>
        <w:t xml:space="preserve">n 2018 </w:t>
      </w:r>
      <w:r>
        <w:rPr>
          <w:sz w:val="20"/>
          <w:szCs w:val="20"/>
          <w:lang w:val="es-AR"/>
        </w:rPr>
        <w:t xml:space="preserve">alcanzando un </w:t>
      </w:r>
      <w:r w:rsidR="00201EFC" w:rsidRPr="006D5614">
        <w:rPr>
          <w:sz w:val="20"/>
          <w:szCs w:val="20"/>
          <w:lang w:val="es-AR"/>
        </w:rPr>
        <w:t xml:space="preserve">62% </w:t>
      </w:r>
      <w:r>
        <w:rPr>
          <w:sz w:val="20"/>
          <w:szCs w:val="20"/>
          <w:lang w:val="es-AR"/>
        </w:rPr>
        <w:t>de todas las ventas publicitarias digitales</w:t>
      </w:r>
      <w:r w:rsidR="00201EFC" w:rsidRPr="006D5614">
        <w:rPr>
          <w:sz w:val="20"/>
          <w:szCs w:val="20"/>
          <w:lang w:val="es-AR"/>
        </w:rPr>
        <w:t xml:space="preserve">. </w:t>
      </w:r>
      <w:r w:rsidRPr="006D5614">
        <w:rPr>
          <w:b/>
          <w:sz w:val="20"/>
          <w:szCs w:val="20"/>
          <w:lang w:val="es-AR"/>
        </w:rPr>
        <w:t>Los formatos de</w:t>
      </w:r>
      <w:r w:rsidRPr="006D5614">
        <w:rPr>
          <w:sz w:val="20"/>
          <w:szCs w:val="20"/>
          <w:lang w:val="es-AR"/>
        </w:rPr>
        <w:t xml:space="preserve"> </w:t>
      </w:r>
      <w:r w:rsidR="00CB0DA4" w:rsidRPr="00CB0DA4">
        <w:rPr>
          <w:b/>
          <w:sz w:val="20"/>
          <w:szCs w:val="20"/>
          <w:lang w:val="es-AR"/>
        </w:rPr>
        <w:t>s</w:t>
      </w:r>
      <w:r w:rsidR="00201EFC" w:rsidRPr="006D5614">
        <w:rPr>
          <w:b/>
          <w:sz w:val="20"/>
          <w:szCs w:val="20"/>
          <w:lang w:val="es-AR"/>
        </w:rPr>
        <w:t xml:space="preserve">earch </w:t>
      </w:r>
      <w:r w:rsidRPr="006D5614">
        <w:rPr>
          <w:b/>
          <w:sz w:val="20"/>
          <w:szCs w:val="20"/>
          <w:lang w:val="es-AR"/>
        </w:rPr>
        <w:t>y</w:t>
      </w:r>
      <w:r w:rsidR="00201EFC" w:rsidRPr="006D5614">
        <w:rPr>
          <w:b/>
          <w:sz w:val="20"/>
          <w:szCs w:val="20"/>
          <w:lang w:val="es-AR"/>
        </w:rPr>
        <w:t xml:space="preserve"> social </w:t>
      </w:r>
      <w:r w:rsidRPr="006D5614">
        <w:rPr>
          <w:b/>
          <w:sz w:val="20"/>
          <w:szCs w:val="20"/>
          <w:lang w:val="es-AR"/>
        </w:rPr>
        <w:t>contin</w:t>
      </w:r>
      <w:r w:rsidR="00EB6B57">
        <w:rPr>
          <w:b/>
          <w:sz w:val="20"/>
          <w:szCs w:val="20"/>
          <w:lang w:val="es-AR"/>
        </w:rPr>
        <w:t>ú</w:t>
      </w:r>
      <w:r w:rsidRPr="006D5614">
        <w:rPr>
          <w:b/>
          <w:sz w:val="20"/>
          <w:szCs w:val="20"/>
          <w:lang w:val="es-AR"/>
        </w:rPr>
        <w:t>an generando un crecim</w:t>
      </w:r>
      <w:r w:rsidR="00EB6B57">
        <w:rPr>
          <w:b/>
          <w:sz w:val="20"/>
          <w:szCs w:val="20"/>
          <w:lang w:val="es-AR"/>
        </w:rPr>
        <w:t>i</w:t>
      </w:r>
      <w:r w:rsidRPr="006D5614">
        <w:rPr>
          <w:b/>
          <w:sz w:val="20"/>
          <w:szCs w:val="20"/>
          <w:lang w:val="es-AR"/>
        </w:rPr>
        <w:t xml:space="preserve">ento publicitario digital </w:t>
      </w:r>
      <w:r w:rsidR="00201EFC" w:rsidRPr="006D5614">
        <w:rPr>
          <w:sz w:val="20"/>
          <w:szCs w:val="20"/>
          <w:lang w:val="es-AR"/>
        </w:rPr>
        <w:t xml:space="preserve">(+16% </w:t>
      </w:r>
      <w:r w:rsidRPr="006D5614">
        <w:rPr>
          <w:sz w:val="20"/>
          <w:szCs w:val="20"/>
          <w:lang w:val="es-AR"/>
        </w:rPr>
        <w:t>y</w:t>
      </w:r>
      <w:r w:rsidR="00201EFC" w:rsidRPr="006D5614">
        <w:rPr>
          <w:sz w:val="20"/>
          <w:szCs w:val="20"/>
          <w:lang w:val="es-AR"/>
        </w:rPr>
        <w:t xml:space="preserve"> +40% respectiv</w:t>
      </w:r>
      <w:r w:rsidRPr="006D5614">
        <w:rPr>
          <w:sz w:val="20"/>
          <w:szCs w:val="20"/>
          <w:lang w:val="es-AR"/>
        </w:rPr>
        <w:t>amente</w:t>
      </w:r>
      <w:r w:rsidR="00201EFC" w:rsidRPr="006D5614">
        <w:rPr>
          <w:sz w:val="20"/>
          <w:szCs w:val="20"/>
          <w:lang w:val="es-AR"/>
        </w:rPr>
        <w:t xml:space="preserve"> </w:t>
      </w:r>
      <w:r w:rsidRPr="006D5614">
        <w:rPr>
          <w:sz w:val="20"/>
          <w:szCs w:val="20"/>
          <w:lang w:val="es-AR"/>
        </w:rPr>
        <w:t>e</w:t>
      </w:r>
      <w:r w:rsidR="00201EFC" w:rsidRPr="006D5614">
        <w:rPr>
          <w:sz w:val="20"/>
          <w:szCs w:val="20"/>
          <w:lang w:val="es-AR"/>
        </w:rPr>
        <w:t xml:space="preserve">n 2017) </w:t>
      </w:r>
      <w:r w:rsidRPr="006D5614">
        <w:rPr>
          <w:sz w:val="20"/>
          <w:szCs w:val="20"/>
          <w:lang w:val="es-AR"/>
        </w:rPr>
        <w:t>dado que miles de millones de d</w:t>
      </w:r>
      <w:r>
        <w:rPr>
          <w:sz w:val="20"/>
          <w:szCs w:val="20"/>
          <w:lang w:val="es-AR"/>
        </w:rPr>
        <w:t>ólares de marketing directo “</w:t>
      </w:r>
      <w:r w:rsidR="00201EFC" w:rsidRPr="006D5614">
        <w:rPr>
          <w:sz w:val="20"/>
          <w:szCs w:val="20"/>
          <w:lang w:val="es-AR"/>
        </w:rPr>
        <w:t>below-the-line</w:t>
      </w:r>
      <w:r>
        <w:rPr>
          <w:sz w:val="20"/>
          <w:szCs w:val="20"/>
          <w:lang w:val="es-AR"/>
        </w:rPr>
        <w:t>”</w:t>
      </w:r>
      <w:r w:rsidR="00EB6B57">
        <w:rPr>
          <w:sz w:val="20"/>
          <w:szCs w:val="20"/>
          <w:lang w:val="es-AR"/>
        </w:rPr>
        <w:t xml:space="preserve"> </w:t>
      </w:r>
      <w:r>
        <w:rPr>
          <w:sz w:val="20"/>
          <w:szCs w:val="20"/>
          <w:lang w:val="es-AR"/>
        </w:rPr>
        <w:t xml:space="preserve">se están redistribuyendo en estos formatos. </w:t>
      </w:r>
      <w:r w:rsidRPr="006D5614">
        <w:rPr>
          <w:sz w:val="20"/>
          <w:szCs w:val="20"/>
          <w:lang w:val="es-AR"/>
        </w:rPr>
        <w:t xml:space="preserve">Ahora </w:t>
      </w:r>
      <w:r w:rsidR="00424098">
        <w:rPr>
          <w:sz w:val="20"/>
          <w:szCs w:val="20"/>
          <w:lang w:val="es-AR"/>
        </w:rPr>
        <w:t>s</w:t>
      </w:r>
      <w:r w:rsidR="00201EFC" w:rsidRPr="006D5614">
        <w:rPr>
          <w:sz w:val="20"/>
          <w:szCs w:val="20"/>
          <w:lang w:val="es-AR"/>
        </w:rPr>
        <w:t xml:space="preserve">ocial </w:t>
      </w:r>
      <w:r w:rsidRPr="006D5614">
        <w:rPr>
          <w:sz w:val="20"/>
          <w:szCs w:val="20"/>
          <w:lang w:val="es-AR"/>
        </w:rPr>
        <w:t>y</w:t>
      </w:r>
      <w:r w:rsidR="00201EFC" w:rsidRPr="006D5614">
        <w:rPr>
          <w:sz w:val="20"/>
          <w:szCs w:val="20"/>
          <w:lang w:val="es-AR"/>
        </w:rPr>
        <w:t xml:space="preserve"> search </w:t>
      </w:r>
      <w:r w:rsidRPr="006D5614">
        <w:rPr>
          <w:sz w:val="20"/>
          <w:szCs w:val="20"/>
          <w:lang w:val="es-AR"/>
        </w:rPr>
        <w:t xml:space="preserve">representan </w:t>
      </w:r>
      <w:r w:rsidR="00201EFC" w:rsidRPr="006D5614">
        <w:rPr>
          <w:sz w:val="20"/>
          <w:szCs w:val="20"/>
          <w:lang w:val="es-AR"/>
        </w:rPr>
        <w:t xml:space="preserve">70% </w:t>
      </w:r>
      <w:r w:rsidRPr="006D5614">
        <w:rPr>
          <w:sz w:val="20"/>
          <w:szCs w:val="20"/>
          <w:lang w:val="es-AR"/>
        </w:rPr>
        <w:t xml:space="preserve">de la </w:t>
      </w:r>
      <w:r w:rsidR="00EB6B57">
        <w:rPr>
          <w:sz w:val="20"/>
          <w:szCs w:val="20"/>
          <w:lang w:val="es-AR"/>
        </w:rPr>
        <w:t xml:space="preserve">inversión </w:t>
      </w:r>
      <w:r w:rsidRPr="006D5614">
        <w:rPr>
          <w:sz w:val="20"/>
          <w:szCs w:val="20"/>
          <w:lang w:val="es-AR"/>
        </w:rPr>
        <w:t xml:space="preserve">en medios digitales, comparado con el </w:t>
      </w:r>
      <w:r w:rsidR="00201EFC" w:rsidRPr="006D5614">
        <w:rPr>
          <w:sz w:val="20"/>
          <w:szCs w:val="20"/>
          <w:lang w:val="es-AR"/>
        </w:rPr>
        <w:t xml:space="preserve">24% </w:t>
      </w:r>
      <w:r>
        <w:rPr>
          <w:sz w:val="20"/>
          <w:szCs w:val="20"/>
          <w:lang w:val="es-AR"/>
        </w:rPr>
        <w:t xml:space="preserve">para </w:t>
      </w:r>
      <w:r w:rsidR="00201EFC" w:rsidRPr="006D5614">
        <w:rPr>
          <w:sz w:val="20"/>
          <w:szCs w:val="20"/>
          <w:lang w:val="es-AR"/>
        </w:rPr>
        <w:t xml:space="preserve">display banners </w:t>
      </w:r>
      <w:r>
        <w:rPr>
          <w:sz w:val="20"/>
          <w:szCs w:val="20"/>
          <w:lang w:val="es-AR"/>
        </w:rPr>
        <w:t>y</w:t>
      </w:r>
      <w:r w:rsidR="00201EFC" w:rsidRPr="006D5614">
        <w:rPr>
          <w:sz w:val="20"/>
          <w:szCs w:val="20"/>
          <w:lang w:val="es-AR"/>
        </w:rPr>
        <w:t xml:space="preserve"> v</w:t>
      </w:r>
      <w:r w:rsidR="00424098">
        <w:rPr>
          <w:sz w:val="20"/>
          <w:szCs w:val="20"/>
          <w:lang w:val="es-AR"/>
        </w:rPr>
        <w:t>í</w:t>
      </w:r>
      <w:r w:rsidR="00201EFC" w:rsidRPr="006D5614">
        <w:rPr>
          <w:sz w:val="20"/>
          <w:szCs w:val="20"/>
          <w:lang w:val="es-AR"/>
        </w:rPr>
        <w:t xml:space="preserve">deo. </w:t>
      </w:r>
    </w:p>
    <w:p w14:paraId="3BB48CA2" w14:textId="77777777" w:rsidR="00C6061F" w:rsidRDefault="00EB6B57" w:rsidP="00805E69">
      <w:pPr>
        <w:pStyle w:val="ListParagraph"/>
        <w:numPr>
          <w:ilvl w:val="0"/>
          <w:numId w:val="18"/>
        </w:numPr>
        <w:spacing w:after="0" w:line="240" w:lineRule="auto"/>
        <w:contextualSpacing w:val="0"/>
        <w:jc w:val="both"/>
        <w:rPr>
          <w:sz w:val="20"/>
          <w:szCs w:val="20"/>
          <w:lang w:val="es-AR"/>
        </w:rPr>
      </w:pPr>
      <w:r w:rsidRPr="00EB6B57">
        <w:rPr>
          <w:b/>
          <w:sz w:val="20"/>
          <w:szCs w:val="20"/>
          <w:lang w:val="es-AR"/>
        </w:rPr>
        <w:t>En los EEUU las ventas publicitarias de los dueños de medios tendr</w:t>
      </w:r>
      <w:r>
        <w:rPr>
          <w:b/>
          <w:sz w:val="20"/>
          <w:szCs w:val="20"/>
          <w:lang w:val="es-AR"/>
        </w:rPr>
        <w:t xml:space="preserve">án un crecimiento del </w:t>
      </w:r>
      <w:r w:rsidR="00201EFC" w:rsidRPr="00EB6B57">
        <w:rPr>
          <w:b/>
          <w:sz w:val="20"/>
          <w:szCs w:val="20"/>
          <w:lang w:val="es-AR"/>
        </w:rPr>
        <w:t>+5</w:t>
      </w:r>
      <w:r>
        <w:rPr>
          <w:b/>
          <w:sz w:val="20"/>
          <w:szCs w:val="20"/>
          <w:lang w:val="es-AR"/>
        </w:rPr>
        <w:t>,</w:t>
      </w:r>
      <w:r w:rsidR="00201EFC" w:rsidRPr="00EB6B57">
        <w:rPr>
          <w:b/>
          <w:sz w:val="20"/>
          <w:szCs w:val="20"/>
          <w:lang w:val="es-AR"/>
        </w:rPr>
        <w:t xml:space="preserve">0% </w:t>
      </w:r>
      <w:r>
        <w:rPr>
          <w:b/>
          <w:sz w:val="20"/>
          <w:szCs w:val="20"/>
          <w:lang w:val="es-AR"/>
        </w:rPr>
        <w:t>e</w:t>
      </w:r>
      <w:r w:rsidR="00201EFC" w:rsidRPr="00EB6B57">
        <w:rPr>
          <w:b/>
          <w:sz w:val="20"/>
          <w:szCs w:val="20"/>
          <w:lang w:val="es-AR"/>
        </w:rPr>
        <w:t xml:space="preserve">n 2018 </w:t>
      </w:r>
      <w:r>
        <w:rPr>
          <w:b/>
          <w:sz w:val="20"/>
          <w:szCs w:val="20"/>
          <w:lang w:val="es-AR"/>
        </w:rPr>
        <w:t xml:space="preserve">alcanzando los </w:t>
      </w:r>
      <w:r w:rsidR="00201EFC" w:rsidRPr="00EB6B57">
        <w:rPr>
          <w:b/>
          <w:sz w:val="20"/>
          <w:szCs w:val="20"/>
          <w:lang w:val="es-AR"/>
        </w:rPr>
        <w:t xml:space="preserve">195 </w:t>
      </w:r>
      <w:r>
        <w:rPr>
          <w:b/>
          <w:sz w:val="20"/>
          <w:szCs w:val="20"/>
          <w:lang w:val="es-AR"/>
        </w:rPr>
        <w:t>mil millones de dólares</w:t>
      </w:r>
      <w:r w:rsidR="00201EFC" w:rsidRPr="00EB6B57">
        <w:rPr>
          <w:b/>
          <w:sz w:val="20"/>
          <w:szCs w:val="20"/>
          <w:lang w:val="es-AR"/>
        </w:rPr>
        <w:t>.</w:t>
      </w:r>
      <w:r w:rsidR="00201EFC" w:rsidRPr="00EB6B57">
        <w:rPr>
          <w:sz w:val="20"/>
          <w:szCs w:val="20"/>
          <w:lang w:val="es-AR"/>
        </w:rPr>
        <w:t xml:space="preserve"> </w:t>
      </w:r>
      <w:r w:rsidRPr="00EB6B57">
        <w:rPr>
          <w:sz w:val="20"/>
          <w:szCs w:val="20"/>
          <w:lang w:val="es-AR"/>
        </w:rPr>
        <w:t xml:space="preserve">No obstante, </w:t>
      </w:r>
      <w:r>
        <w:rPr>
          <w:sz w:val="20"/>
          <w:szCs w:val="20"/>
          <w:lang w:val="es-AR"/>
        </w:rPr>
        <w:t>la neutralización del efecto</w:t>
      </w:r>
      <w:r w:rsidRPr="00EB6B57">
        <w:rPr>
          <w:sz w:val="20"/>
          <w:szCs w:val="20"/>
          <w:lang w:val="es-AR"/>
        </w:rPr>
        <w:t xml:space="preserve"> de los eventos del año par</w:t>
      </w:r>
      <w:r>
        <w:rPr>
          <w:sz w:val="20"/>
          <w:szCs w:val="20"/>
          <w:lang w:val="es-AR"/>
        </w:rPr>
        <w:t xml:space="preserve"> resulta en un</w:t>
      </w:r>
      <w:r w:rsidRPr="00EB6B57">
        <w:rPr>
          <w:sz w:val="20"/>
          <w:szCs w:val="20"/>
          <w:lang w:val="es-AR"/>
        </w:rPr>
        <w:t xml:space="preserve"> crecimiento</w:t>
      </w:r>
      <w:r>
        <w:rPr>
          <w:sz w:val="20"/>
          <w:szCs w:val="20"/>
          <w:lang w:val="es-AR"/>
        </w:rPr>
        <w:t xml:space="preserve"> </w:t>
      </w:r>
      <w:r w:rsidRPr="00EB6B57">
        <w:rPr>
          <w:sz w:val="20"/>
          <w:szCs w:val="20"/>
          <w:lang w:val="es-AR"/>
        </w:rPr>
        <w:t>de tan solo</w:t>
      </w:r>
      <w:r>
        <w:rPr>
          <w:sz w:val="20"/>
          <w:szCs w:val="20"/>
          <w:lang w:val="es-AR"/>
        </w:rPr>
        <w:t xml:space="preserve"> 3,2% para 2018, </w:t>
      </w:r>
      <w:r w:rsidR="00201EFC" w:rsidRPr="00EB6B57">
        <w:rPr>
          <w:sz w:val="20"/>
          <w:szCs w:val="20"/>
          <w:lang w:val="es-AR"/>
        </w:rPr>
        <w:t>compar</w:t>
      </w:r>
      <w:r>
        <w:rPr>
          <w:sz w:val="20"/>
          <w:szCs w:val="20"/>
          <w:lang w:val="es-AR"/>
        </w:rPr>
        <w:t xml:space="preserve">ado con </w:t>
      </w:r>
      <w:r w:rsidR="00201EFC" w:rsidRPr="00EB6B57">
        <w:rPr>
          <w:sz w:val="20"/>
          <w:szCs w:val="20"/>
          <w:lang w:val="es-AR"/>
        </w:rPr>
        <w:t>+3</w:t>
      </w:r>
      <w:r>
        <w:rPr>
          <w:sz w:val="20"/>
          <w:szCs w:val="20"/>
          <w:lang w:val="es-AR"/>
        </w:rPr>
        <w:t>,</w:t>
      </w:r>
      <w:r w:rsidR="00201EFC" w:rsidRPr="00EB6B57">
        <w:rPr>
          <w:sz w:val="20"/>
          <w:szCs w:val="20"/>
          <w:lang w:val="es-AR"/>
        </w:rPr>
        <w:t xml:space="preserve">9% </w:t>
      </w:r>
      <w:r>
        <w:rPr>
          <w:sz w:val="20"/>
          <w:szCs w:val="20"/>
          <w:lang w:val="es-AR"/>
        </w:rPr>
        <w:t>e</w:t>
      </w:r>
      <w:r w:rsidR="00201EFC" w:rsidRPr="00EB6B57">
        <w:rPr>
          <w:sz w:val="20"/>
          <w:szCs w:val="20"/>
          <w:lang w:val="es-AR"/>
        </w:rPr>
        <w:t xml:space="preserve">n 2017 </w:t>
      </w:r>
      <w:r>
        <w:rPr>
          <w:sz w:val="20"/>
          <w:szCs w:val="20"/>
          <w:lang w:val="es-AR"/>
        </w:rPr>
        <w:t>y</w:t>
      </w:r>
      <w:r w:rsidR="00201EFC" w:rsidRPr="00EB6B57">
        <w:rPr>
          <w:sz w:val="20"/>
          <w:szCs w:val="20"/>
          <w:lang w:val="es-AR"/>
        </w:rPr>
        <w:t xml:space="preserve"> +5</w:t>
      </w:r>
      <w:r>
        <w:rPr>
          <w:sz w:val="20"/>
          <w:szCs w:val="20"/>
          <w:lang w:val="es-AR"/>
        </w:rPr>
        <w:t>,</w:t>
      </w:r>
      <w:r w:rsidR="00201EFC" w:rsidRPr="00EB6B57">
        <w:rPr>
          <w:sz w:val="20"/>
          <w:szCs w:val="20"/>
          <w:lang w:val="es-AR"/>
        </w:rPr>
        <w:t xml:space="preserve">9% </w:t>
      </w:r>
      <w:r>
        <w:rPr>
          <w:sz w:val="20"/>
          <w:szCs w:val="20"/>
          <w:lang w:val="es-AR"/>
        </w:rPr>
        <w:t>e</w:t>
      </w:r>
      <w:r w:rsidR="00201EFC" w:rsidRPr="00EB6B57">
        <w:rPr>
          <w:sz w:val="20"/>
          <w:szCs w:val="20"/>
          <w:lang w:val="es-AR"/>
        </w:rPr>
        <w:t xml:space="preserve">n 2016. </w:t>
      </w:r>
      <w:r w:rsidRPr="00EB6B57">
        <w:rPr>
          <w:sz w:val="20"/>
          <w:szCs w:val="20"/>
          <w:lang w:val="es-AR"/>
        </w:rPr>
        <w:t>La desaceleración es causada principal</w:t>
      </w:r>
      <w:r w:rsidR="00C6061F">
        <w:rPr>
          <w:sz w:val="20"/>
          <w:szCs w:val="20"/>
          <w:lang w:val="es-AR"/>
        </w:rPr>
        <w:t xml:space="preserve">mente </w:t>
      </w:r>
      <w:r w:rsidRPr="00EB6B57">
        <w:rPr>
          <w:sz w:val="20"/>
          <w:szCs w:val="20"/>
          <w:lang w:val="es-AR"/>
        </w:rPr>
        <w:t xml:space="preserve">por las ventas en medios </w:t>
      </w:r>
      <w:r w:rsidR="00201EFC" w:rsidRPr="00EB6B57">
        <w:rPr>
          <w:sz w:val="20"/>
          <w:szCs w:val="20"/>
          <w:lang w:val="es-AR"/>
        </w:rPr>
        <w:t>offline (</w:t>
      </w:r>
      <w:r>
        <w:rPr>
          <w:sz w:val="20"/>
          <w:szCs w:val="20"/>
          <w:lang w:val="es-AR"/>
        </w:rPr>
        <w:t>p.e. televisión nacional</w:t>
      </w:r>
      <w:r w:rsidR="00201EFC" w:rsidRPr="00EB6B57">
        <w:rPr>
          <w:sz w:val="20"/>
          <w:szCs w:val="20"/>
          <w:lang w:val="es-AR"/>
        </w:rPr>
        <w:t xml:space="preserve">: </w:t>
      </w:r>
    </w:p>
    <w:p w14:paraId="1914EB67" w14:textId="77777777" w:rsidR="00C6061F" w:rsidRDefault="00C6061F" w:rsidP="00805E69">
      <w:pPr>
        <w:pStyle w:val="ListParagraph"/>
        <w:spacing w:after="0" w:line="240" w:lineRule="auto"/>
        <w:ind w:left="360"/>
        <w:contextualSpacing w:val="0"/>
        <w:jc w:val="both"/>
        <w:rPr>
          <w:b/>
          <w:sz w:val="20"/>
          <w:szCs w:val="20"/>
          <w:lang w:val="es-AR"/>
        </w:rPr>
      </w:pPr>
    </w:p>
    <w:p w14:paraId="580CDC7B" w14:textId="5A9D2B0A" w:rsidR="00201EFC" w:rsidRPr="00C6061F" w:rsidRDefault="00C6061F" w:rsidP="00805E69">
      <w:pPr>
        <w:pStyle w:val="ListParagraph"/>
        <w:spacing w:after="0" w:line="240" w:lineRule="auto"/>
        <w:contextualSpacing w:val="0"/>
        <w:jc w:val="both"/>
        <w:rPr>
          <w:sz w:val="20"/>
          <w:szCs w:val="20"/>
          <w:lang w:val="es-AR"/>
        </w:rPr>
      </w:pPr>
      <w:r>
        <w:rPr>
          <w:sz w:val="20"/>
          <w:szCs w:val="20"/>
          <w:lang w:val="es-AR"/>
        </w:rPr>
        <w:t>-</w:t>
      </w:r>
      <w:r w:rsidR="00201EFC" w:rsidRPr="00C6061F">
        <w:rPr>
          <w:sz w:val="20"/>
          <w:szCs w:val="20"/>
          <w:lang w:val="es-AR"/>
        </w:rPr>
        <w:t xml:space="preserve">1% </w:t>
      </w:r>
      <w:r>
        <w:rPr>
          <w:sz w:val="20"/>
          <w:szCs w:val="20"/>
          <w:lang w:val="es-AR"/>
        </w:rPr>
        <w:t>sin incluir los eventos deportivos y políticos</w:t>
      </w:r>
      <w:r w:rsidR="00201EFC" w:rsidRPr="00C6061F">
        <w:rPr>
          <w:sz w:val="20"/>
          <w:szCs w:val="20"/>
          <w:lang w:val="es-AR"/>
        </w:rPr>
        <w:t xml:space="preserve">). </w:t>
      </w:r>
      <w:r w:rsidRPr="00C6061F">
        <w:rPr>
          <w:sz w:val="20"/>
          <w:szCs w:val="20"/>
          <w:lang w:val="es-AR"/>
        </w:rPr>
        <w:t>El componente deportivo de la bonanzas del 2018, aproximadamente 800 millones de d</w:t>
      </w:r>
      <w:r>
        <w:rPr>
          <w:sz w:val="20"/>
          <w:szCs w:val="20"/>
          <w:lang w:val="es-AR"/>
        </w:rPr>
        <w:t>ólares, no tendrá un crecimiento en comparación con los años previos debido a las desfavorables zonas horarias (Rusia, Corea) y la ausencia de algunos atletas de EEUU (fútbol, hockey sobre hielo). En medio de un intenso entorno político, la inversión publicitaria durante las elecciones intermedias podría experimentar un incremento del 20% en comparación con el desalentador ciclo del 2014</w:t>
      </w:r>
      <w:r w:rsidR="00201EFC" w:rsidRPr="00C6061F">
        <w:rPr>
          <w:sz w:val="20"/>
          <w:szCs w:val="20"/>
          <w:lang w:val="es-AR"/>
        </w:rPr>
        <w:t xml:space="preserve">. </w:t>
      </w:r>
    </w:p>
    <w:p w14:paraId="284A7AD7" w14:textId="77777777" w:rsidR="00201EFC" w:rsidRPr="00C6061F" w:rsidRDefault="00201EFC" w:rsidP="00805E69">
      <w:pPr>
        <w:pStyle w:val="ListParagraph"/>
        <w:spacing w:after="0" w:line="240" w:lineRule="auto"/>
        <w:ind w:left="360"/>
        <w:contextualSpacing w:val="0"/>
        <w:jc w:val="both"/>
        <w:rPr>
          <w:sz w:val="20"/>
          <w:szCs w:val="20"/>
          <w:lang w:val="es-AR"/>
        </w:rPr>
      </w:pPr>
    </w:p>
    <w:p w14:paraId="4511CF38" w14:textId="0AB858F8" w:rsidR="0058181F" w:rsidRPr="00C6061F" w:rsidRDefault="0058181F" w:rsidP="00805E69">
      <w:pPr>
        <w:spacing w:after="0" w:line="240" w:lineRule="auto"/>
        <w:jc w:val="both"/>
        <w:rPr>
          <w:sz w:val="20"/>
          <w:szCs w:val="20"/>
          <w:lang w:val="es-AR"/>
        </w:rPr>
      </w:pPr>
    </w:p>
    <w:p w14:paraId="668BE8C8" w14:textId="030E2EB5" w:rsidR="007074A8" w:rsidRPr="00802665" w:rsidRDefault="00802665" w:rsidP="00805E69">
      <w:pPr>
        <w:pBdr>
          <w:top w:val="single" w:sz="4" w:space="1" w:color="auto"/>
          <w:left w:val="single" w:sz="4" w:space="4" w:color="auto"/>
          <w:bottom w:val="single" w:sz="4" w:space="1" w:color="auto"/>
          <w:right w:val="single" w:sz="4" w:space="4" w:color="auto"/>
        </w:pBdr>
        <w:jc w:val="both"/>
        <w:rPr>
          <w:lang w:val="es-AR"/>
        </w:rPr>
      </w:pPr>
      <w:r w:rsidRPr="00802665">
        <w:rPr>
          <w:lang w:val="es-AR"/>
        </w:rPr>
        <w:t>Según</w:t>
      </w:r>
      <w:r w:rsidR="007074A8" w:rsidRPr="00802665">
        <w:rPr>
          <w:lang w:val="es-AR"/>
        </w:rPr>
        <w:t xml:space="preserve"> Vincent Létang, EVP, Global Market Intelligence </w:t>
      </w:r>
      <w:r w:rsidRPr="00802665">
        <w:rPr>
          <w:lang w:val="es-AR"/>
        </w:rPr>
        <w:t>de</w:t>
      </w:r>
      <w:r w:rsidR="007074A8" w:rsidRPr="00802665">
        <w:rPr>
          <w:lang w:val="es-AR"/>
        </w:rPr>
        <w:t xml:space="preserve"> MAGNA </w:t>
      </w:r>
      <w:r w:rsidRPr="00802665">
        <w:rPr>
          <w:lang w:val="es-AR"/>
        </w:rPr>
        <w:t>y autor del informe</w:t>
      </w:r>
      <w:r w:rsidR="007074A8" w:rsidRPr="00802665">
        <w:rPr>
          <w:lang w:val="es-AR"/>
        </w:rPr>
        <w:t>:</w:t>
      </w:r>
    </w:p>
    <w:p w14:paraId="526CF5B7" w14:textId="64B73FBE" w:rsidR="0058181F" w:rsidRPr="00A91463" w:rsidRDefault="007074A8" w:rsidP="00805E69">
      <w:pPr>
        <w:pBdr>
          <w:top w:val="single" w:sz="4" w:space="1" w:color="auto"/>
          <w:left w:val="single" w:sz="4" w:space="4" w:color="auto"/>
          <w:bottom w:val="single" w:sz="4" w:space="1" w:color="auto"/>
          <w:right w:val="single" w:sz="4" w:space="4" w:color="auto"/>
        </w:pBdr>
        <w:jc w:val="both"/>
        <w:rPr>
          <w:rFonts w:ascii="Interstate Regular Cond" w:eastAsiaTheme="majorEastAsia" w:hAnsi="Interstate Regular Cond" w:cstheme="majorBidi"/>
          <w:bCs/>
          <w:i/>
          <w:sz w:val="36"/>
          <w:szCs w:val="28"/>
          <w:lang w:val="es-AR"/>
        </w:rPr>
      </w:pPr>
      <w:r w:rsidRPr="00A91463">
        <w:rPr>
          <w:i/>
          <w:lang w:val="es-AR"/>
        </w:rPr>
        <w:t>“</w:t>
      </w:r>
      <w:r w:rsidR="00A91463" w:rsidRPr="00A91463">
        <w:rPr>
          <w:i/>
          <w:lang w:val="es-AR"/>
        </w:rPr>
        <w:t>Los cl</w:t>
      </w:r>
      <w:r w:rsidR="00A91463">
        <w:rPr>
          <w:i/>
          <w:lang w:val="es-AR"/>
        </w:rPr>
        <w:t>á</w:t>
      </w:r>
      <w:r w:rsidR="00A91463" w:rsidRPr="00A91463">
        <w:rPr>
          <w:i/>
          <w:lang w:val="es-AR"/>
        </w:rPr>
        <w:t>sicos impulsores c</w:t>
      </w:r>
      <w:r w:rsidR="00A91463">
        <w:rPr>
          <w:i/>
          <w:lang w:val="es-AR"/>
        </w:rPr>
        <w:t>u</w:t>
      </w:r>
      <w:r w:rsidR="00A91463" w:rsidRPr="00A91463">
        <w:rPr>
          <w:i/>
          <w:lang w:val="es-AR"/>
        </w:rPr>
        <w:t>a</w:t>
      </w:r>
      <w:r w:rsidR="00A91463">
        <w:rPr>
          <w:i/>
          <w:lang w:val="es-AR"/>
        </w:rPr>
        <w:t>t</w:t>
      </w:r>
      <w:r w:rsidR="00A91463" w:rsidRPr="00A91463">
        <w:rPr>
          <w:i/>
          <w:lang w:val="es-AR"/>
        </w:rPr>
        <w:t>r</w:t>
      </w:r>
      <w:r w:rsidR="00A91463">
        <w:rPr>
          <w:i/>
          <w:lang w:val="es-AR"/>
        </w:rPr>
        <w:t>iena</w:t>
      </w:r>
      <w:r w:rsidR="00A91463" w:rsidRPr="00A91463">
        <w:rPr>
          <w:i/>
          <w:lang w:val="es-AR"/>
        </w:rPr>
        <w:t xml:space="preserve">les (la Copa Mundial de la FIFA, </w:t>
      </w:r>
      <w:r w:rsidR="00424098">
        <w:rPr>
          <w:i/>
          <w:lang w:val="es-AR"/>
        </w:rPr>
        <w:t>l</w:t>
      </w:r>
      <w:r w:rsidR="00A91463" w:rsidRPr="00A91463">
        <w:rPr>
          <w:i/>
          <w:lang w:val="es-AR"/>
        </w:rPr>
        <w:t>os Juegos Ol</w:t>
      </w:r>
      <w:r w:rsidR="00A91463">
        <w:rPr>
          <w:i/>
          <w:lang w:val="es-AR"/>
        </w:rPr>
        <w:t>í</w:t>
      </w:r>
      <w:r w:rsidR="00A91463" w:rsidRPr="00A91463">
        <w:rPr>
          <w:i/>
          <w:lang w:val="es-AR"/>
        </w:rPr>
        <w:t>mpicos de invierno y las Elecciones en los EEUU) compensar</w:t>
      </w:r>
      <w:r w:rsidR="00A91463">
        <w:rPr>
          <w:i/>
          <w:lang w:val="es-AR"/>
        </w:rPr>
        <w:t>án la subyacente desaceleración del mercado publicitario global en 2018 para generar un modesto crecimiento</w:t>
      </w:r>
      <w:r w:rsidRPr="00A91463">
        <w:rPr>
          <w:i/>
          <w:lang w:val="es-AR"/>
        </w:rPr>
        <w:t xml:space="preserve"> (+5</w:t>
      </w:r>
      <w:r w:rsidR="00A91463">
        <w:rPr>
          <w:i/>
          <w:lang w:val="es-AR"/>
        </w:rPr>
        <w:t>,</w:t>
      </w:r>
      <w:r w:rsidRPr="00A91463">
        <w:rPr>
          <w:i/>
          <w:lang w:val="es-AR"/>
        </w:rPr>
        <w:t xml:space="preserve">2%). </w:t>
      </w:r>
      <w:r w:rsidR="00A91463">
        <w:rPr>
          <w:i/>
          <w:lang w:val="es-AR"/>
        </w:rPr>
        <w:t>Se acelera l</w:t>
      </w:r>
      <w:r w:rsidR="00A91463" w:rsidRPr="00A91463">
        <w:rPr>
          <w:i/>
          <w:lang w:val="es-AR"/>
        </w:rPr>
        <w:t>a transici</w:t>
      </w:r>
      <w:r w:rsidR="00A91463">
        <w:rPr>
          <w:i/>
          <w:lang w:val="es-AR"/>
        </w:rPr>
        <w:t>ó</w:t>
      </w:r>
      <w:r w:rsidR="00A91463" w:rsidRPr="00A91463">
        <w:rPr>
          <w:i/>
          <w:lang w:val="es-AR"/>
        </w:rPr>
        <w:t>n hac</w:t>
      </w:r>
      <w:r w:rsidR="00A91463">
        <w:rPr>
          <w:i/>
          <w:lang w:val="es-AR"/>
        </w:rPr>
        <w:t>i</w:t>
      </w:r>
      <w:r w:rsidR="00A91463" w:rsidRPr="00A91463">
        <w:rPr>
          <w:i/>
          <w:lang w:val="es-AR"/>
        </w:rPr>
        <w:t>a un</w:t>
      </w:r>
      <w:r w:rsidR="00A91463">
        <w:rPr>
          <w:i/>
          <w:lang w:val="es-AR"/>
        </w:rPr>
        <w:t xml:space="preserve"> mundo de medios enfocado en lo</w:t>
      </w:r>
      <w:r w:rsidR="00A91463" w:rsidRPr="00A91463">
        <w:rPr>
          <w:i/>
          <w:lang w:val="es-AR"/>
        </w:rPr>
        <w:t xml:space="preserve"> digital</w:t>
      </w:r>
      <w:r w:rsidR="00A91463">
        <w:rPr>
          <w:i/>
          <w:lang w:val="es-AR"/>
        </w:rPr>
        <w:t xml:space="preserve"> a medida que </w:t>
      </w:r>
      <w:r w:rsidR="00424098">
        <w:rPr>
          <w:i/>
          <w:lang w:val="es-AR"/>
        </w:rPr>
        <w:t xml:space="preserve">las ventas publicitarias digitales </w:t>
      </w:r>
      <w:r w:rsidR="00A91463">
        <w:rPr>
          <w:i/>
          <w:lang w:val="es-AR"/>
        </w:rPr>
        <w:t xml:space="preserve">continúan creciendo </w:t>
      </w:r>
      <w:r w:rsidR="00424098">
        <w:rPr>
          <w:i/>
          <w:lang w:val="es-AR"/>
        </w:rPr>
        <w:t>a gran velocidad –y por lo general más rápido</w:t>
      </w:r>
      <w:r w:rsidR="00A91463">
        <w:rPr>
          <w:i/>
          <w:lang w:val="es-AR"/>
        </w:rPr>
        <w:t xml:space="preserve"> que lo esperado. </w:t>
      </w:r>
      <w:r w:rsidR="00A91463" w:rsidRPr="00A91463">
        <w:rPr>
          <w:i/>
          <w:lang w:val="es-AR"/>
        </w:rPr>
        <w:t>Ahora prevemos que las ventas publicitarias digitales representar</w:t>
      </w:r>
      <w:r w:rsidR="00A91463">
        <w:rPr>
          <w:i/>
          <w:lang w:val="es-AR"/>
        </w:rPr>
        <w:t>á</w:t>
      </w:r>
      <w:r w:rsidR="00A91463" w:rsidRPr="00A91463">
        <w:rPr>
          <w:i/>
          <w:lang w:val="es-AR"/>
        </w:rPr>
        <w:t xml:space="preserve">n un </w:t>
      </w:r>
      <w:r w:rsidRPr="00A91463">
        <w:rPr>
          <w:i/>
          <w:lang w:val="es-AR"/>
        </w:rPr>
        <w:t xml:space="preserve">50% </w:t>
      </w:r>
      <w:r w:rsidR="00A91463" w:rsidRPr="00A91463">
        <w:rPr>
          <w:i/>
          <w:lang w:val="es-AR"/>
        </w:rPr>
        <w:t>de todos los d</w:t>
      </w:r>
      <w:r w:rsidR="00A91463">
        <w:rPr>
          <w:i/>
          <w:lang w:val="es-AR"/>
        </w:rPr>
        <w:t xml:space="preserve">ólares publicitarios para </w:t>
      </w:r>
      <w:r w:rsidRPr="00A91463">
        <w:rPr>
          <w:i/>
          <w:lang w:val="es-AR"/>
        </w:rPr>
        <w:t>2020. M</w:t>
      </w:r>
      <w:r w:rsidR="00A91463" w:rsidRPr="00A91463">
        <w:rPr>
          <w:i/>
          <w:lang w:val="es-AR"/>
        </w:rPr>
        <w:t>ientras tanto, la televisi</w:t>
      </w:r>
      <w:r w:rsidR="00A91463">
        <w:rPr>
          <w:i/>
          <w:lang w:val="es-AR"/>
        </w:rPr>
        <w:t>ó</w:t>
      </w:r>
      <w:r w:rsidR="00A91463" w:rsidRPr="00A91463">
        <w:rPr>
          <w:i/>
          <w:lang w:val="es-AR"/>
        </w:rPr>
        <w:t xml:space="preserve">n lineal sigue </w:t>
      </w:r>
      <w:r w:rsidR="00A91463">
        <w:rPr>
          <w:i/>
          <w:lang w:val="es-AR"/>
        </w:rPr>
        <w:t>haciendo un gran esfuerzo e</w:t>
      </w:r>
      <w:r w:rsidR="00A91463" w:rsidRPr="00A91463">
        <w:rPr>
          <w:i/>
          <w:lang w:val="es-AR"/>
        </w:rPr>
        <w:t>n la mayor</w:t>
      </w:r>
      <w:r w:rsidR="00A91463">
        <w:rPr>
          <w:i/>
          <w:lang w:val="es-AR"/>
        </w:rPr>
        <w:t>í</w:t>
      </w:r>
      <w:r w:rsidR="00A91463" w:rsidRPr="00A91463">
        <w:rPr>
          <w:i/>
          <w:lang w:val="es-AR"/>
        </w:rPr>
        <w:t>a de los principales mercados</w:t>
      </w:r>
      <w:r w:rsidRPr="00A91463">
        <w:rPr>
          <w:i/>
          <w:lang w:val="es-AR"/>
        </w:rPr>
        <w:t xml:space="preserve"> (</w:t>
      </w:r>
      <w:r w:rsidR="00A91463" w:rsidRPr="00A91463">
        <w:rPr>
          <w:i/>
          <w:lang w:val="es-AR"/>
        </w:rPr>
        <w:t>EEUU</w:t>
      </w:r>
      <w:r w:rsidRPr="00A91463">
        <w:rPr>
          <w:i/>
          <w:lang w:val="es-AR"/>
        </w:rPr>
        <w:t>,</w:t>
      </w:r>
      <w:r w:rsidR="00A91463">
        <w:rPr>
          <w:i/>
          <w:lang w:val="es-AR"/>
        </w:rPr>
        <w:t xml:space="preserve"> </w:t>
      </w:r>
      <w:r w:rsidR="00A91463" w:rsidRPr="00A91463">
        <w:rPr>
          <w:i/>
          <w:lang w:val="es-AR"/>
        </w:rPr>
        <w:t>Reino Unido</w:t>
      </w:r>
      <w:r w:rsidRPr="00A91463">
        <w:rPr>
          <w:i/>
          <w:lang w:val="es-AR"/>
        </w:rPr>
        <w:t xml:space="preserve">, Australia etc.) </w:t>
      </w:r>
      <w:r w:rsidR="00A91463">
        <w:rPr>
          <w:i/>
          <w:lang w:val="es-AR"/>
        </w:rPr>
        <w:t xml:space="preserve">dado que la inflación del </w:t>
      </w:r>
      <w:r w:rsidRPr="00A91463">
        <w:rPr>
          <w:i/>
          <w:lang w:val="es-AR"/>
        </w:rPr>
        <w:t xml:space="preserve">CPM </w:t>
      </w:r>
      <w:r w:rsidR="00A91463">
        <w:rPr>
          <w:i/>
          <w:lang w:val="es-AR"/>
        </w:rPr>
        <w:t>ya no es lo suficientemente fuerte para poder compensar la caída en los ratings y la menor demanda de productos para el consumidor</w:t>
      </w:r>
      <w:r w:rsidRPr="00A91463">
        <w:rPr>
          <w:i/>
          <w:lang w:val="es-AR"/>
        </w:rPr>
        <w:t>”</w:t>
      </w:r>
      <w:r w:rsidR="00A91463">
        <w:rPr>
          <w:i/>
          <w:lang w:val="es-AR"/>
        </w:rPr>
        <w:t>.</w:t>
      </w:r>
      <w:r w:rsidR="0058181F" w:rsidRPr="00A91463">
        <w:rPr>
          <w:i/>
          <w:lang w:val="es-AR"/>
        </w:rPr>
        <w:br w:type="page"/>
      </w:r>
    </w:p>
    <w:p w14:paraId="2D7E589E" w14:textId="29DAB6C2" w:rsidR="004B4156" w:rsidRPr="00291D96" w:rsidRDefault="00C3477D" w:rsidP="00805E69">
      <w:pPr>
        <w:pStyle w:val="Heading1"/>
        <w:jc w:val="both"/>
        <w:rPr>
          <w:lang w:val="es-AR"/>
        </w:rPr>
      </w:pPr>
      <w:r w:rsidRPr="00291D96">
        <w:rPr>
          <w:lang w:val="es-AR"/>
        </w:rPr>
        <w:lastRenderedPageBreak/>
        <w:t>Pano</w:t>
      </w:r>
      <w:r w:rsidR="00364240" w:rsidRPr="00291D96">
        <w:rPr>
          <w:lang w:val="es-AR"/>
        </w:rPr>
        <w:t>rama</w:t>
      </w:r>
      <w:r w:rsidRPr="00291D96">
        <w:rPr>
          <w:lang w:val="es-AR"/>
        </w:rPr>
        <w:t xml:space="preserve"> global</w:t>
      </w:r>
      <w:r w:rsidR="004B4156" w:rsidRPr="00291D96">
        <w:rPr>
          <w:lang w:val="es-AR"/>
        </w:rPr>
        <w:t xml:space="preserve">: </w:t>
      </w:r>
      <w:r w:rsidR="00424098">
        <w:rPr>
          <w:lang w:val="es-AR"/>
        </w:rPr>
        <w:t>r</w:t>
      </w:r>
      <w:r w:rsidR="00805E69">
        <w:rPr>
          <w:lang w:val="es-AR"/>
        </w:rPr>
        <w:t xml:space="preserve">esumen del </w:t>
      </w:r>
      <w:r w:rsidR="004B4156" w:rsidRPr="00291D96">
        <w:rPr>
          <w:lang w:val="es-AR"/>
        </w:rPr>
        <w:t>2017</w:t>
      </w:r>
      <w:r w:rsidR="00265DE2" w:rsidRPr="00291D96">
        <w:rPr>
          <w:lang w:val="es-AR"/>
        </w:rPr>
        <w:t xml:space="preserve"> </w:t>
      </w:r>
    </w:p>
    <w:p w14:paraId="631A80E2" w14:textId="25A2C27E" w:rsidR="004B4156" w:rsidRPr="00C3477D" w:rsidRDefault="00C3477D" w:rsidP="00805E69">
      <w:pPr>
        <w:spacing w:after="0" w:line="240" w:lineRule="auto"/>
        <w:jc w:val="both"/>
        <w:rPr>
          <w:lang w:val="es-AR"/>
        </w:rPr>
      </w:pPr>
      <w:r w:rsidRPr="00C3477D">
        <w:rPr>
          <w:lang w:val="es-AR"/>
        </w:rPr>
        <w:t xml:space="preserve">Se estima que los ingresos publicitarios netos de los dueños de medios </w:t>
      </w:r>
      <w:r w:rsidR="008F0805" w:rsidRPr="00C3477D">
        <w:rPr>
          <w:lang w:val="es-AR"/>
        </w:rPr>
        <w:t xml:space="preserve">(NAR) </w:t>
      </w:r>
      <w:r w:rsidRPr="00C3477D">
        <w:rPr>
          <w:lang w:val="es-AR"/>
        </w:rPr>
        <w:t xml:space="preserve">tuvieron un crecimiento del </w:t>
      </w:r>
      <w:r w:rsidR="008F0805" w:rsidRPr="00C3477D">
        <w:rPr>
          <w:b/>
          <w:lang w:val="es-AR"/>
        </w:rPr>
        <w:t>+4</w:t>
      </w:r>
      <w:r>
        <w:rPr>
          <w:b/>
          <w:lang w:val="es-AR"/>
        </w:rPr>
        <w:t>,</w:t>
      </w:r>
      <w:r w:rsidR="008F0805" w:rsidRPr="00C3477D">
        <w:rPr>
          <w:b/>
          <w:lang w:val="es-AR"/>
        </w:rPr>
        <w:t>1</w:t>
      </w:r>
      <w:r w:rsidR="004B4156" w:rsidRPr="00C3477D">
        <w:rPr>
          <w:b/>
          <w:lang w:val="es-AR"/>
        </w:rPr>
        <w:t>%</w:t>
      </w:r>
      <w:r w:rsidR="004B4156" w:rsidRPr="00C3477D">
        <w:rPr>
          <w:lang w:val="es-AR"/>
        </w:rPr>
        <w:t xml:space="preserve"> </w:t>
      </w:r>
      <w:r>
        <w:rPr>
          <w:lang w:val="es-AR"/>
        </w:rPr>
        <w:t>e</w:t>
      </w:r>
      <w:r w:rsidR="004B4156" w:rsidRPr="00C3477D">
        <w:rPr>
          <w:b/>
          <w:lang w:val="es-AR"/>
        </w:rPr>
        <w:t>n 2017</w:t>
      </w:r>
      <w:r w:rsidR="004B4156" w:rsidRPr="00C3477D">
        <w:rPr>
          <w:lang w:val="es-AR"/>
        </w:rPr>
        <w:t xml:space="preserve">, </w:t>
      </w:r>
      <w:r>
        <w:rPr>
          <w:lang w:val="es-AR"/>
        </w:rPr>
        <w:t xml:space="preserve">alcanzando los </w:t>
      </w:r>
      <w:r w:rsidR="004B4156" w:rsidRPr="00C3477D">
        <w:rPr>
          <w:b/>
          <w:lang w:val="es-AR"/>
        </w:rPr>
        <w:t>50</w:t>
      </w:r>
      <w:r w:rsidR="008F0805" w:rsidRPr="00C3477D">
        <w:rPr>
          <w:b/>
          <w:lang w:val="es-AR"/>
        </w:rPr>
        <w:t>8</w:t>
      </w:r>
      <w:r w:rsidR="004B4156" w:rsidRPr="00C3477D">
        <w:rPr>
          <w:b/>
          <w:lang w:val="es-AR"/>
        </w:rPr>
        <w:t xml:space="preserve"> </w:t>
      </w:r>
      <w:r>
        <w:rPr>
          <w:b/>
          <w:lang w:val="es-AR"/>
        </w:rPr>
        <w:t>mil millones de d</w:t>
      </w:r>
      <w:r w:rsidR="00364240">
        <w:rPr>
          <w:b/>
          <w:lang w:val="es-AR"/>
        </w:rPr>
        <w:t>ó</w:t>
      </w:r>
      <w:r>
        <w:rPr>
          <w:b/>
          <w:lang w:val="es-AR"/>
        </w:rPr>
        <w:t>lares</w:t>
      </w:r>
      <w:r w:rsidR="00877144" w:rsidRPr="00C3477D">
        <w:rPr>
          <w:lang w:val="es-AR"/>
        </w:rPr>
        <w:t xml:space="preserve">. </w:t>
      </w:r>
      <w:r w:rsidRPr="00C3477D">
        <w:rPr>
          <w:lang w:val="es-AR"/>
        </w:rPr>
        <w:t>Este nuevo estimado es liger</w:t>
      </w:r>
      <w:r>
        <w:rPr>
          <w:lang w:val="es-AR"/>
        </w:rPr>
        <w:t>amente</w:t>
      </w:r>
      <w:r w:rsidRPr="00C3477D">
        <w:rPr>
          <w:lang w:val="es-AR"/>
        </w:rPr>
        <w:t xml:space="preserve"> superior a la </w:t>
      </w:r>
      <w:r w:rsidR="00364240">
        <w:rPr>
          <w:lang w:val="es-AR"/>
        </w:rPr>
        <w:t>ú</w:t>
      </w:r>
      <w:r w:rsidRPr="00C3477D">
        <w:rPr>
          <w:lang w:val="es-AR"/>
        </w:rPr>
        <w:t xml:space="preserve">ltima </w:t>
      </w:r>
      <w:r>
        <w:rPr>
          <w:lang w:val="es-AR"/>
        </w:rPr>
        <w:t>proyección de MAGNA</w:t>
      </w:r>
      <w:r w:rsidR="008F0805" w:rsidRPr="00C3477D">
        <w:rPr>
          <w:lang w:val="es-AR"/>
        </w:rPr>
        <w:t xml:space="preserve"> (+3</w:t>
      </w:r>
      <w:r>
        <w:rPr>
          <w:lang w:val="es-AR"/>
        </w:rPr>
        <w:t>,</w:t>
      </w:r>
      <w:r w:rsidR="008F0805" w:rsidRPr="00C3477D">
        <w:rPr>
          <w:lang w:val="es-AR"/>
        </w:rPr>
        <w:t>7</w:t>
      </w:r>
      <w:r w:rsidR="004B4156" w:rsidRPr="00C3477D">
        <w:rPr>
          <w:lang w:val="es-AR"/>
        </w:rPr>
        <w:t xml:space="preserve">% </w:t>
      </w:r>
      <w:r>
        <w:rPr>
          <w:lang w:val="es-AR"/>
        </w:rPr>
        <w:t>e</w:t>
      </w:r>
      <w:r w:rsidR="004B4156" w:rsidRPr="00C3477D">
        <w:rPr>
          <w:lang w:val="es-AR"/>
        </w:rPr>
        <w:t xml:space="preserve">n </w:t>
      </w:r>
      <w:r>
        <w:rPr>
          <w:lang w:val="es-AR"/>
        </w:rPr>
        <w:t xml:space="preserve">junio de </w:t>
      </w:r>
      <w:r w:rsidR="008F0805" w:rsidRPr="00C3477D">
        <w:rPr>
          <w:lang w:val="es-AR"/>
        </w:rPr>
        <w:t>2017</w:t>
      </w:r>
      <w:r w:rsidR="004B4156" w:rsidRPr="00C3477D">
        <w:rPr>
          <w:lang w:val="es-AR"/>
        </w:rPr>
        <w:t>).</w:t>
      </w:r>
    </w:p>
    <w:p w14:paraId="312D8801" w14:textId="77777777" w:rsidR="007074A8" w:rsidRPr="00C3477D" w:rsidRDefault="007074A8" w:rsidP="00805E69">
      <w:pPr>
        <w:spacing w:after="0" w:line="240" w:lineRule="auto"/>
        <w:jc w:val="both"/>
        <w:rPr>
          <w:lang w:val="es-AR"/>
        </w:rPr>
      </w:pPr>
    </w:p>
    <w:p w14:paraId="2CE891F1" w14:textId="60D8EC91" w:rsidR="00C3477D" w:rsidRPr="00C3477D" w:rsidRDefault="00C3477D" w:rsidP="00805E69">
      <w:pPr>
        <w:spacing w:after="0" w:line="240" w:lineRule="auto"/>
        <w:jc w:val="both"/>
        <w:rPr>
          <w:lang w:val="es-AR"/>
        </w:rPr>
      </w:pPr>
      <w:r w:rsidRPr="00C3477D">
        <w:rPr>
          <w:lang w:val="es-AR"/>
        </w:rPr>
        <w:t>Si neutraliz</w:t>
      </w:r>
      <w:r>
        <w:rPr>
          <w:lang w:val="es-AR"/>
        </w:rPr>
        <w:t xml:space="preserve">amos </w:t>
      </w:r>
      <w:r w:rsidRPr="00C3477D">
        <w:rPr>
          <w:lang w:val="es-AR"/>
        </w:rPr>
        <w:t xml:space="preserve"> el impacto de los eventos </w:t>
      </w:r>
      <w:r>
        <w:rPr>
          <w:lang w:val="es-AR"/>
        </w:rPr>
        <w:t>cíclicos (Elecciones en EEUU del 2016, Juegos Ol</w:t>
      </w:r>
      <w:r w:rsidR="00364240">
        <w:rPr>
          <w:lang w:val="es-AR"/>
        </w:rPr>
        <w:t>í</w:t>
      </w:r>
      <w:r>
        <w:rPr>
          <w:lang w:val="es-AR"/>
        </w:rPr>
        <w:t>mpicos de verano 2016 y el Campeonato de F</w:t>
      </w:r>
      <w:r w:rsidR="00364240">
        <w:rPr>
          <w:lang w:val="es-AR"/>
        </w:rPr>
        <w:t>út</w:t>
      </w:r>
      <w:r>
        <w:rPr>
          <w:lang w:val="es-AR"/>
        </w:rPr>
        <w:t xml:space="preserve">bol de la UEFA 2016) y la falta de eventos similares en 2017, MAGNA cree que </w:t>
      </w:r>
      <w:r w:rsidRPr="00C3477D">
        <w:rPr>
          <w:b/>
          <w:lang w:val="es-AR"/>
        </w:rPr>
        <w:t>el crecimiento “normalizado” habr</w:t>
      </w:r>
      <w:r w:rsidR="00364240">
        <w:rPr>
          <w:b/>
          <w:lang w:val="es-AR"/>
        </w:rPr>
        <w:t>í</w:t>
      </w:r>
      <w:r w:rsidRPr="00C3477D">
        <w:rPr>
          <w:b/>
          <w:lang w:val="es-AR"/>
        </w:rPr>
        <w:t>a sido de +5,1% este año</w:t>
      </w:r>
      <w:r>
        <w:rPr>
          <w:lang w:val="es-AR"/>
        </w:rPr>
        <w:t>, casi al mismo nivel que 2016 (+5,0%) en un contexto con una economía ligeramente más fuerte (resultado global según el FMI: +3,6% en 2018 vs +3,2% en 2017)</w:t>
      </w:r>
    </w:p>
    <w:p w14:paraId="3AC7661B" w14:textId="77777777" w:rsidR="007074A8" w:rsidRPr="00C3477D" w:rsidRDefault="007074A8" w:rsidP="00805E69">
      <w:pPr>
        <w:spacing w:after="0" w:line="240" w:lineRule="auto"/>
        <w:jc w:val="both"/>
        <w:rPr>
          <w:lang w:val="es-AR"/>
        </w:rPr>
      </w:pPr>
    </w:p>
    <w:p w14:paraId="2AA1FD47" w14:textId="5797284E" w:rsidR="00B95ED1" w:rsidRPr="00C3477D" w:rsidRDefault="00C3477D" w:rsidP="00805E69">
      <w:pPr>
        <w:spacing w:after="0" w:line="240" w:lineRule="auto"/>
        <w:jc w:val="both"/>
        <w:rPr>
          <w:lang w:val="es-AR"/>
        </w:rPr>
      </w:pPr>
      <w:r w:rsidRPr="00C3477D">
        <w:rPr>
          <w:lang w:val="es-AR"/>
        </w:rPr>
        <w:t>C</w:t>
      </w:r>
      <w:r w:rsidR="00424098">
        <w:rPr>
          <w:lang w:val="es-AR"/>
        </w:rPr>
        <w:t>on un c</w:t>
      </w:r>
      <w:r w:rsidRPr="00C3477D">
        <w:rPr>
          <w:lang w:val="es-AR"/>
        </w:rPr>
        <w:t xml:space="preserve">recimiento promedio </w:t>
      </w:r>
      <w:r w:rsidR="00424098">
        <w:rPr>
          <w:lang w:val="es-AR"/>
        </w:rPr>
        <w:t>cercano al</w:t>
      </w:r>
      <w:r w:rsidRPr="00C3477D">
        <w:rPr>
          <w:lang w:val="es-AR"/>
        </w:rPr>
        <w:t>+4,1% este año (2017), Am</w:t>
      </w:r>
      <w:r w:rsidR="00364240">
        <w:rPr>
          <w:lang w:val="es-AR"/>
        </w:rPr>
        <w:t>é</w:t>
      </w:r>
      <w:r w:rsidRPr="00C3477D">
        <w:rPr>
          <w:lang w:val="es-AR"/>
        </w:rPr>
        <w:t>rica Latina tuvo las mayores tasa</w:t>
      </w:r>
      <w:r w:rsidR="00424098">
        <w:rPr>
          <w:lang w:val="es-AR"/>
        </w:rPr>
        <w:t>s</w:t>
      </w:r>
      <w:r w:rsidRPr="00C3477D">
        <w:rPr>
          <w:lang w:val="es-AR"/>
        </w:rPr>
        <w:t xml:space="preserve"> de crecimiento, principalmente debido a la inflaci</w:t>
      </w:r>
      <w:r w:rsidR="00364240">
        <w:rPr>
          <w:lang w:val="es-AR"/>
        </w:rPr>
        <w:t>ó</w:t>
      </w:r>
      <w:r>
        <w:rPr>
          <w:lang w:val="es-AR"/>
        </w:rPr>
        <w:t>n</w:t>
      </w:r>
      <w:r w:rsidR="00FD1A3E" w:rsidRPr="00C3477D">
        <w:rPr>
          <w:lang w:val="es-AR"/>
        </w:rPr>
        <w:t>: +7</w:t>
      </w:r>
      <w:r w:rsidR="00424098">
        <w:rPr>
          <w:lang w:val="es-AR"/>
        </w:rPr>
        <w:t>,</w:t>
      </w:r>
      <w:r w:rsidR="00FD1A3E" w:rsidRPr="00C3477D">
        <w:rPr>
          <w:lang w:val="es-AR"/>
        </w:rPr>
        <w:t xml:space="preserve">3%. </w:t>
      </w:r>
      <w:r w:rsidRPr="00C3477D">
        <w:rPr>
          <w:lang w:val="es-AR"/>
        </w:rPr>
        <w:t>L</w:t>
      </w:r>
      <w:r w:rsidR="00364240">
        <w:rPr>
          <w:lang w:val="es-AR"/>
        </w:rPr>
        <w:t>a</w:t>
      </w:r>
      <w:r w:rsidRPr="00C3477D">
        <w:rPr>
          <w:lang w:val="es-AR"/>
        </w:rPr>
        <w:t xml:space="preserve"> regi</w:t>
      </w:r>
      <w:r w:rsidR="00364240">
        <w:rPr>
          <w:lang w:val="es-AR"/>
        </w:rPr>
        <w:t>ó</w:t>
      </w:r>
      <w:r w:rsidRPr="00C3477D">
        <w:rPr>
          <w:lang w:val="es-AR"/>
        </w:rPr>
        <w:t xml:space="preserve">n de </w:t>
      </w:r>
      <w:r w:rsidR="00FD1A3E" w:rsidRPr="00C3477D">
        <w:rPr>
          <w:lang w:val="es-AR"/>
        </w:rPr>
        <w:t>Asia-Pac</w:t>
      </w:r>
      <w:r w:rsidR="00424098">
        <w:rPr>
          <w:lang w:val="es-AR"/>
        </w:rPr>
        <w:t>í</w:t>
      </w:r>
      <w:r w:rsidR="00FD1A3E" w:rsidRPr="00C3477D">
        <w:rPr>
          <w:lang w:val="es-AR"/>
        </w:rPr>
        <w:t>fic</w:t>
      </w:r>
      <w:r w:rsidRPr="00C3477D">
        <w:rPr>
          <w:lang w:val="es-AR"/>
        </w:rPr>
        <w:t>o</w:t>
      </w:r>
      <w:r w:rsidR="00FD1A3E" w:rsidRPr="00C3477D">
        <w:rPr>
          <w:lang w:val="es-AR"/>
        </w:rPr>
        <w:t xml:space="preserve"> (APAC) </w:t>
      </w:r>
      <w:r w:rsidRPr="00C3477D">
        <w:rPr>
          <w:lang w:val="es-AR"/>
        </w:rPr>
        <w:t>estuvo en segundo lugar</w:t>
      </w:r>
      <w:r w:rsidR="00FD1A3E" w:rsidRPr="00C3477D">
        <w:rPr>
          <w:lang w:val="es-AR"/>
        </w:rPr>
        <w:t xml:space="preserve"> (+5</w:t>
      </w:r>
      <w:r w:rsidR="00424098">
        <w:rPr>
          <w:lang w:val="es-AR"/>
        </w:rPr>
        <w:t>,</w:t>
      </w:r>
      <w:r w:rsidR="00FD1A3E" w:rsidRPr="00C3477D">
        <w:rPr>
          <w:lang w:val="es-AR"/>
        </w:rPr>
        <w:t xml:space="preserve">7%) </w:t>
      </w:r>
      <w:r>
        <w:rPr>
          <w:lang w:val="es-AR"/>
        </w:rPr>
        <w:t xml:space="preserve">seguido por </w:t>
      </w:r>
      <w:r w:rsidR="00FD1A3E" w:rsidRPr="00C3477D">
        <w:rPr>
          <w:lang w:val="es-AR"/>
        </w:rPr>
        <w:t>EMEA (+4</w:t>
      </w:r>
      <w:r w:rsidR="00424098">
        <w:rPr>
          <w:lang w:val="es-AR"/>
        </w:rPr>
        <w:t>,</w:t>
      </w:r>
      <w:r w:rsidR="00FD1A3E" w:rsidRPr="00C3477D">
        <w:rPr>
          <w:lang w:val="es-AR"/>
        </w:rPr>
        <w:t xml:space="preserve">5%) </w:t>
      </w:r>
      <w:r>
        <w:rPr>
          <w:lang w:val="es-AR"/>
        </w:rPr>
        <w:t>y Am</w:t>
      </w:r>
      <w:r w:rsidR="00364240">
        <w:rPr>
          <w:lang w:val="es-AR"/>
        </w:rPr>
        <w:t>é</w:t>
      </w:r>
      <w:r>
        <w:rPr>
          <w:lang w:val="es-AR"/>
        </w:rPr>
        <w:t xml:space="preserve">rica del Norte </w:t>
      </w:r>
      <w:r w:rsidR="00FD1A3E" w:rsidRPr="00C3477D">
        <w:rPr>
          <w:lang w:val="es-AR"/>
        </w:rPr>
        <w:t>(+2</w:t>
      </w:r>
      <w:r w:rsidR="00424098">
        <w:rPr>
          <w:lang w:val="es-AR"/>
        </w:rPr>
        <w:t>,</w:t>
      </w:r>
      <w:r w:rsidR="00FD1A3E" w:rsidRPr="00C3477D">
        <w:rPr>
          <w:lang w:val="es-AR"/>
        </w:rPr>
        <w:t xml:space="preserve">2%). </w:t>
      </w:r>
      <w:r w:rsidRPr="00C3477D">
        <w:rPr>
          <w:lang w:val="es-AR"/>
        </w:rPr>
        <w:t xml:space="preserve">Dentro de </w:t>
      </w:r>
      <w:r w:rsidR="00FD1A3E" w:rsidRPr="00C3477D">
        <w:rPr>
          <w:lang w:val="es-AR"/>
        </w:rPr>
        <w:t xml:space="preserve">EMEA, </w:t>
      </w:r>
      <w:r w:rsidRPr="00C3477D">
        <w:rPr>
          <w:lang w:val="es-AR"/>
        </w:rPr>
        <w:t>hubo un fuerte crecimiento en Europa central y oriental</w:t>
      </w:r>
      <w:r w:rsidR="00FD1A3E" w:rsidRPr="00C3477D">
        <w:rPr>
          <w:lang w:val="es-AR"/>
        </w:rPr>
        <w:t xml:space="preserve"> (CEE, +8</w:t>
      </w:r>
      <w:r w:rsidR="00424098">
        <w:rPr>
          <w:lang w:val="es-AR"/>
        </w:rPr>
        <w:t>,</w:t>
      </w:r>
      <w:r w:rsidR="00FD1A3E" w:rsidRPr="00C3477D">
        <w:rPr>
          <w:lang w:val="es-AR"/>
        </w:rPr>
        <w:t xml:space="preserve">8% </w:t>
      </w:r>
      <w:r w:rsidRPr="00C3477D">
        <w:rPr>
          <w:lang w:val="es-AR"/>
        </w:rPr>
        <w:t>impulsado por la recuperaci</w:t>
      </w:r>
      <w:r w:rsidR="00364240">
        <w:rPr>
          <w:lang w:val="es-AR"/>
        </w:rPr>
        <w:t>ó</w:t>
      </w:r>
      <w:r w:rsidRPr="00C3477D">
        <w:rPr>
          <w:lang w:val="es-AR"/>
        </w:rPr>
        <w:t>n de Rus</w:t>
      </w:r>
      <w:r w:rsidR="00FD1A3E" w:rsidRPr="00C3477D">
        <w:rPr>
          <w:lang w:val="es-AR"/>
        </w:rPr>
        <w:t>ia</w:t>
      </w:r>
      <w:r>
        <w:rPr>
          <w:lang w:val="es-AR"/>
        </w:rPr>
        <w:t xml:space="preserve"> y Ucrania</w:t>
      </w:r>
      <w:r w:rsidR="00FD1A3E" w:rsidRPr="00C3477D">
        <w:rPr>
          <w:lang w:val="es-AR"/>
        </w:rPr>
        <w:t xml:space="preserve">), </w:t>
      </w:r>
      <w:r>
        <w:rPr>
          <w:lang w:val="es-AR"/>
        </w:rPr>
        <w:t xml:space="preserve">seguido por Oriente Medio y África </w:t>
      </w:r>
      <w:r w:rsidR="00FD1A3E" w:rsidRPr="00C3477D">
        <w:rPr>
          <w:lang w:val="es-AR"/>
        </w:rPr>
        <w:t>(+7</w:t>
      </w:r>
      <w:r w:rsidR="00424098">
        <w:rPr>
          <w:lang w:val="es-AR"/>
        </w:rPr>
        <w:t>,</w:t>
      </w:r>
      <w:r w:rsidR="00FD1A3E" w:rsidRPr="00C3477D">
        <w:rPr>
          <w:lang w:val="es-AR"/>
        </w:rPr>
        <w:t xml:space="preserve">7%) </w:t>
      </w:r>
      <w:r>
        <w:rPr>
          <w:lang w:val="es-AR"/>
        </w:rPr>
        <w:t xml:space="preserve">y Europa occidental </w:t>
      </w:r>
      <w:r w:rsidR="00FD1A3E" w:rsidRPr="00C3477D">
        <w:rPr>
          <w:lang w:val="es-AR"/>
        </w:rPr>
        <w:t>(+3</w:t>
      </w:r>
      <w:r w:rsidR="00424098">
        <w:rPr>
          <w:lang w:val="es-AR"/>
        </w:rPr>
        <w:t>,</w:t>
      </w:r>
      <w:r w:rsidR="00FD1A3E" w:rsidRPr="00C3477D">
        <w:rPr>
          <w:lang w:val="es-AR"/>
        </w:rPr>
        <w:t xml:space="preserve">4%, </w:t>
      </w:r>
      <w:r w:rsidR="00364240">
        <w:rPr>
          <w:lang w:val="es-AR"/>
        </w:rPr>
        <w:t>desacelerándose desde el 4</w:t>
      </w:r>
      <w:r w:rsidR="00FD1A3E" w:rsidRPr="00C3477D">
        <w:rPr>
          <w:lang w:val="es-AR"/>
        </w:rPr>
        <w:t xml:space="preserve">% </w:t>
      </w:r>
      <w:r w:rsidR="00364240">
        <w:rPr>
          <w:lang w:val="es-AR"/>
        </w:rPr>
        <w:t>de los últimos dos años</w:t>
      </w:r>
      <w:r w:rsidR="00FD1A3E" w:rsidRPr="00C3477D">
        <w:rPr>
          <w:lang w:val="es-AR"/>
        </w:rPr>
        <w:t xml:space="preserve">). </w:t>
      </w:r>
    </w:p>
    <w:p w14:paraId="0EA4E830" w14:textId="77777777" w:rsidR="007074A8" w:rsidRPr="00C3477D" w:rsidRDefault="007074A8" w:rsidP="00805E69">
      <w:pPr>
        <w:spacing w:after="0" w:line="240" w:lineRule="auto"/>
        <w:jc w:val="both"/>
        <w:rPr>
          <w:lang w:val="es-AR"/>
        </w:rPr>
      </w:pPr>
    </w:p>
    <w:p w14:paraId="2937DD19" w14:textId="1AB079AC" w:rsidR="00FD1A3E" w:rsidRPr="00364240" w:rsidRDefault="00364240" w:rsidP="00805E69">
      <w:pPr>
        <w:spacing w:after="0" w:line="240" w:lineRule="auto"/>
        <w:jc w:val="both"/>
        <w:rPr>
          <w:lang w:val="es-AR"/>
        </w:rPr>
      </w:pPr>
      <w:r w:rsidRPr="00364240">
        <w:rPr>
          <w:lang w:val="es-AR"/>
        </w:rPr>
        <w:t>Los mercados emergent</w:t>
      </w:r>
      <w:r>
        <w:rPr>
          <w:lang w:val="es-AR"/>
        </w:rPr>
        <w:t>es crecieron de manera colectiv</w:t>
      </w:r>
      <w:r w:rsidRPr="00364240">
        <w:rPr>
          <w:lang w:val="es-AR"/>
        </w:rPr>
        <w:t>a</w:t>
      </w:r>
      <w:r>
        <w:rPr>
          <w:lang w:val="es-AR"/>
        </w:rPr>
        <w:t xml:space="preserve"> en</w:t>
      </w:r>
      <w:r w:rsidRPr="00364240">
        <w:rPr>
          <w:lang w:val="es-AR"/>
        </w:rPr>
        <w:t xml:space="preserve"> un </w:t>
      </w:r>
      <w:r w:rsidR="00C07992" w:rsidRPr="00364240">
        <w:rPr>
          <w:lang w:val="es-AR"/>
        </w:rPr>
        <w:t>+</w:t>
      </w:r>
      <w:r w:rsidR="00FD1A3E" w:rsidRPr="00364240">
        <w:rPr>
          <w:lang w:val="es-AR"/>
        </w:rPr>
        <w:t>8</w:t>
      </w:r>
      <w:r w:rsidR="00424098">
        <w:rPr>
          <w:lang w:val="es-AR"/>
        </w:rPr>
        <w:t>,</w:t>
      </w:r>
      <w:r w:rsidR="00FD1A3E" w:rsidRPr="00364240">
        <w:rPr>
          <w:lang w:val="es-AR"/>
        </w:rPr>
        <w:t>2%</w:t>
      </w:r>
      <w:r w:rsidR="001B6DEE" w:rsidRPr="00364240">
        <w:rPr>
          <w:lang w:val="es-AR"/>
        </w:rPr>
        <w:t xml:space="preserve"> </w:t>
      </w:r>
      <w:r w:rsidRPr="00364240">
        <w:rPr>
          <w:lang w:val="es-AR"/>
        </w:rPr>
        <w:t xml:space="preserve">alcanzando el </w:t>
      </w:r>
      <w:r w:rsidR="001B6DEE" w:rsidRPr="00364240">
        <w:rPr>
          <w:lang w:val="es-AR"/>
        </w:rPr>
        <w:t xml:space="preserve">26% </w:t>
      </w:r>
      <w:r w:rsidRPr="00364240">
        <w:rPr>
          <w:lang w:val="es-AR"/>
        </w:rPr>
        <w:t>de la actividad publicitaria mundial</w:t>
      </w:r>
      <w:r w:rsidR="001B6DEE" w:rsidRPr="00364240">
        <w:rPr>
          <w:lang w:val="es-AR"/>
        </w:rPr>
        <w:t xml:space="preserve"> (vs 23% </w:t>
      </w:r>
      <w:r>
        <w:rPr>
          <w:lang w:val="es-AR"/>
        </w:rPr>
        <w:t>hace cuatro años</w:t>
      </w:r>
      <w:r w:rsidR="001B6DEE" w:rsidRPr="00364240">
        <w:rPr>
          <w:lang w:val="es-AR"/>
        </w:rPr>
        <w:t>)</w:t>
      </w:r>
      <w:r w:rsidR="00FD1A3E" w:rsidRPr="00364240">
        <w:rPr>
          <w:lang w:val="es-AR"/>
        </w:rPr>
        <w:t xml:space="preserve"> </w:t>
      </w:r>
      <w:r>
        <w:rPr>
          <w:lang w:val="es-AR"/>
        </w:rPr>
        <w:t xml:space="preserve">mientras que los mercados desarrollados incrementaron solo un </w:t>
      </w:r>
      <w:r w:rsidR="00C07992" w:rsidRPr="00364240">
        <w:rPr>
          <w:lang w:val="es-AR"/>
        </w:rPr>
        <w:t>+2</w:t>
      </w:r>
      <w:r w:rsidR="00424098">
        <w:rPr>
          <w:lang w:val="es-AR"/>
        </w:rPr>
        <w:t>,</w:t>
      </w:r>
      <w:r w:rsidR="007B2A29" w:rsidRPr="00364240">
        <w:rPr>
          <w:lang w:val="es-AR"/>
        </w:rPr>
        <w:t>7</w:t>
      </w:r>
      <w:r w:rsidR="00C07992" w:rsidRPr="00364240">
        <w:rPr>
          <w:lang w:val="es-AR"/>
        </w:rPr>
        <w:t>%.</w:t>
      </w:r>
      <w:r w:rsidR="001B6DEE" w:rsidRPr="00364240">
        <w:rPr>
          <w:lang w:val="es-AR"/>
        </w:rPr>
        <w:t xml:space="preserve"> </w:t>
      </w:r>
      <w:r w:rsidRPr="00364240">
        <w:rPr>
          <w:lang w:val="es-AR"/>
        </w:rPr>
        <w:t>A largo plazo</w:t>
      </w:r>
      <w:r w:rsidR="001B6DEE" w:rsidRPr="00364240">
        <w:rPr>
          <w:lang w:val="es-AR"/>
        </w:rPr>
        <w:t xml:space="preserve"> (2022)</w:t>
      </w:r>
      <w:r w:rsidR="007B2A29" w:rsidRPr="00364240">
        <w:rPr>
          <w:lang w:val="es-AR"/>
        </w:rPr>
        <w:t>,</w:t>
      </w:r>
      <w:r w:rsidR="001B6DEE" w:rsidRPr="00364240">
        <w:rPr>
          <w:lang w:val="es-AR"/>
        </w:rPr>
        <w:t xml:space="preserve"> </w:t>
      </w:r>
      <w:r w:rsidRPr="00364240">
        <w:rPr>
          <w:lang w:val="es-AR"/>
        </w:rPr>
        <w:t>se prev</w:t>
      </w:r>
      <w:r>
        <w:rPr>
          <w:lang w:val="es-AR"/>
        </w:rPr>
        <w:t>é</w:t>
      </w:r>
      <w:r w:rsidRPr="00364240">
        <w:rPr>
          <w:lang w:val="es-AR"/>
        </w:rPr>
        <w:t xml:space="preserve"> que los mercados emergentes presentar</w:t>
      </w:r>
      <w:r>
        <w:rPr>
          <w:lang w:val="es-AR"/>
        </w:rPr>
        <w:t>á</w:t>
      </w:r>
      <w:r w:rsidRPr="00364240">
        <w:rPr>
          <w:lang w:val="es-AR"/>
        </w:rPr>
        <w:t xml:space="preserve">n 30% de la </w:t>
      </w:r>
      <w:r>
        <w:rPr>
          <w:lang w:val="es-AR"/>
        </w:rPr>
        <w:t>inversión publicitaria global</w:t>
      </w:r>
      <w:r w:rsidR="00B36E34">
        <w:rPr>
          <w:lang w:val="es-AR"/>
        </w:rPr>
        <w:t>.</w:t>
      </w:r>
    </w:p>
    <w:p w14:paraId="4B8B5B1C" w14:textId="77777777" w:rsidR="00EB01E0" w:rsidRDefault="00EB01E0" w:rsidP="00805E69">
      <w:pPr>
        <w:spacing w:after="0" w:line="240" w:lineRule="auto"/>
        <w:jc w:val="both"/>
        <w:rPr>
          <w:lang w:val="es-AR"/>
        </w:rPr>
      </w:pPr>
    </w:p>
    <w:p w14:paraId="6E3C08A2" w14:textId="76BDC346" w:rsidR="00EB01E0" w:rsidRPr="00EB01E0" w:rsidRDefault="00EB01E0" w:rsidP="00805E69">
      <w:pPr>
        <w:spacing w:after="0" w:line="240" w:lineRule="auto"/>
        <w:jc w:val="both"/>
        <w:rPr>
          <w:lang w:val="es-AR"/>
        </w:rPr>
      </w:pPr>
      <w:r w:rsidRPr="00EB01E0">
        <w:rPr>
          <w:lang w:val="es-AR"/>
        </w:rPr>
        <w:t xml:space="preserve">Hace tres años las cinco naciones del “BRIC” eran el motor de crecimiento para el mercado publicitario global (creciendo en promedio un 14% entre 2010 y 2014), pero luego Rusia y Brasil entraron en recesión y se previó que China </w:t>
      </w:r>
      <w:r w:rsidR="00B36E34">
        <w:rPr>
          <w:lang w:val="es-AR"/>
        </w:rPr>
        <w:t>tuvie</w:t>
      </w:r>
      <w:r w:rsidR="00424098">
        <w:rPr>
          <w:lang w:val="es-AR"/>
        </w:rPr>
        <w:t xml:space="preserve">se </w:t>
      </w:r>
      <w:r w:rsidRPr="00EB01E0">
        <w:rPr>
          <w:lang w:val="es-AR"/>
        </w:rPr>
        <w:t>un “</w:t>
      </w:r>
      <w:r w:rsidR="00424098">
        <w:rPr>
          <w:lang w:val="es-AR"/>
        </w:rPr>
        <w:t xml:space="preserve">suave </w:t>
      </w:r>
      <w:r w:rsidRPr="00EB01E0">
        <w:rPr>
          <w:lang w:val="es-AR"/>
        </w:rPr>
        <w:t xml:space="preserve">aterrizaje”, dejando a </w:t>
      </w:r>
      <w:r w:rsidR="00424098">
        <w:rPr>
          <w:lang w:val="es-AR"/>
        </w:rPr>
        <w:t xml:space="preserve">la </w:t>
      </w:r>
      <w:r w:rsidRPr="00EB01E0">
        <w:rPr>
          <w:lang w:val="es-AR"/>
        </w:rPr>
        <w:t xml:space="preserve">India como el </w:t>
      </w:r>
      <w:r>
        <w:rPr>
          <w:lang w:val="es-AR"/>
        </w:rPr>
        <w:t xml:space="preserve">único miembro del club en crecer con dos dígitos. </w:t>
      </w:r>
      <w:r w:rsidRPr="00EB01E0">
        <w:rPr>
          <w:b/>
          <w:lang w:val="es-AR"/>
        </w:rPr>
        <w:t>2017 fue el año del regreso del grupo “BRIC”</w:t>
      </w:r>
      <w:r>
        <w:rPr>
          <w:lang w:val="es-AR"/>
        </w:rPr>
        <w:t xml:space="preserve">, con un crecimiento combinado de los ingresos publicitarios de +9,3%. Rusia </w:t>
      </w:r>
      <w:r w:rsidR="00424098">
        <w:rPr>
          <w:lang w:val="es-AR"/>
        </w:rPr>
        <w:t xml:space="preserve">y la </w:t>
      </w:r>
      <w:r>
        <w:rPr>
          <w:lang w:val="es-AR"/>
        </w:rPr>
        <w:t>India están firmes dentro de la liga de los dos dígitos (+12,7% y +11,1% en 2017 respectivamente) mientras que la desaceleración de China nunca se materializó y el cre</w:t>
      </w:r>
      <w:r w:rsidR="00424098">
        <w:rPr>
          <w:lang w:val="es-AR"/>
        </w:rPr>
        <w:t xml:space="preserve">cimiento se ha mantenido </w:t>
      </w:r>
      <w:r>
        <w:rPr>
          <w:lang w:val="es-AR"/>
        </w:rPr>
        <w:t>constantemente</w:t>
      </w:r>
      <w:r w:rsidR="00424098">
        <w:rPr>
          <w:lang w:val="es-AR"/>
        </w:rPr>
        <w:t xml:space="preserve"> fuerte</w:t>
      </w:r>
      <w:r>
        <w:rPr>
          <w:lang w:val="es-AR"/>
        </w:rPr>
        <w:t xml:space="preserve"> con altos dígitos simples (+8,7%, </w:t>
      </w:r>
      <w:r w:rsidR="00B36E34">
        <w:rPr>
          <w:lang w:val="es-AR"/>
        </w:rPr>
        <w:t xml:space="preserve">venciendo </w:t>
      </w:r>
      <w:r>
        <w:rPr>
          <w:lang w:val="es-AR"/>
        </w:rPr>
        <w:t>el crecimiento económico) e incluso Brasil se está recuperando finalmente (+9,7%)</w:t>
      </w:r>
      <w:r w:rsidR="00424098">
        <w:rPr>
          <w:lang w:val="es-AR"/>
        </w:rPr>
        <w:t>.</w:t>
      </w:r>
    </w:p>
    <w:p w14:paraId="3BFE1EF0" w14:textId="77777777" w:rsidR="007074A8" w:rsidRPr="00EB01E0" w:rsidRDefault="007074A8" w:rsidP="00805E69">
      <w:pPr>
        <w:spacing w:after="0" w:line="240" w:lineRule="auto"/>
        <w:jc w:val="both"/>
        <w:rPr>
          <w:lang w:val="es-AR"/>
        </w:rPr>
      </w:pPr>
    </w:p>
    <w:p w14:paraId="12B97012" w14:textId="7C4D5F46" w:rsidR="00EB01E0" w:rsidRDefault="00EB01E0" w:rsidP="00805E69">
      <w:pPr>
        <w:spacing w:after="0" w:line="240" w:lineRule="auto"/>
        <w:jc w:val="both"/>
        <w:rPr>
          <w:lang w:val="es-AR"/>
        </w:rPr>
      </w:pPr>
      <w:r w:rsidRPr="00EB01E0">
        <w:rPr>
          <w:lang w:val="es-AR"/>
        </w:rPr>
        <w:t>Colectivamente los cuatro mercados BRIC ah</w:t>
      </w:r>
      <w:r>
        <w:rPr>
          <w:lang w:val="es-AR"/>
        </w:rPr>
        <w:t>o</w:t>
      </w:r>
      <w:r w:rsidRPr="00EB01E0">
        <w:rPr>
          <w:lang w:val="es-AR"/>
        </w:rPr>
        <w:t>ra representan 18% de la actividad publicitaria mundial, en comparaci</w:t>
      </w:r>
      <w:r>
        <w:rPr>
          <w:lang w:val="es-AR"/>
        </w:rPr>
        <w:t xml:space="preserve">ón con 16% de hace cuatro años, y se prevé que esta participación crezca un 21% para el 2022. </w:t>
      </w:r>
    </w:p>
    <w:p w14:paraId="31B1462B" w14:textId="77777777" w:rsidR="00EB01E0" w:rsidRPr="00EB01E0" w:rsidRDefault="00EB01E0" w:rsidP="00805E69">
      <w:pPr>
        <w:spacing w:after="0" w:line="240" w:lineRule="auto"/>
        <w:jc w:val="both"/>
        <w:rPr>
          <w:lang w:val="es-AR"/>
        </w:rPr>
      </w:pPr>
    </w:p>
    <w:p w14:paraId="5D39AB39" w14:textId="588A7A57" w:rsidR="00FD1A3E" w:rsidRPr="00EB01E0" w:rsidRDefault="00EB01E0" w:rsidP="00805E69">
      <w:pPr>
        <w:spacing w:after="0" w:line="240" w:lineRule="auto"/>
        <w:jc w:val="both"/>
        <w:rPr>
          <w:lang w:val="es-AR"/>
        </w:rPr>
      </w:pPr>
      <w:r w:rsidRPr="00EB01E0">
        <w:rPr>
          <w:lang w:val="es-AR"/>
        </w:rPr>
        <w:t xml:space="preserve">En cuanto a mercados individuales, las mayores tasa de crecimiento en 2017 provinieron de </w:t>
      </w:r>
      <w:r w:rsidR="008149D5" w:rsidRPr="00EB01E0">
        <w:rPr>
          <w:lang w:val="es-AR"/>
        </w:rPr>
        <w:t>Argentina (+24</w:t>
      </w:r>
      <w:r w:rsidR="00424098">
        <w:rPr>
          <w:lang w:val="es-AR"/>
        </w:rPr>
        <w:t>.</w:t>
      </w:r>
      <w:r w:rsidR="008149D5" w:rsidRPr="00EB01E0">
        <w:rPr>
          <w:lang w:val="es-AR"/>
        </w:rPr>
        <w:t>7%), U</w:t>
      </w:r>
      <w:r w:rsidRPr="00EB01E0">
        <w:rPr>
          <w:lang w:val="es-AR"/>
        </w:rPr>
        <w:t>crania</w:t>
      </w:r>
      <w:r w:rsidR="008149D5" w:rsidRPr="00EB01E0">
        <w:rPr>
          <w:lang w:val="es-AR"/>
        </w:rPr>
        <w:t xml:space="preserve"> (+</w:t>
      </w:r>
      <w:r w:rsidR="008834BA" w:rsidRPr="00EB01E0">
        <w:rPr>
          <w:lang w:val="es-AR"/>
        </w:rPr>
        <w:t>19</w:t>
      </w:r>
      <w:r w:rsidR="00424098">
        <w:rPr>
          <w:lang w:val="es-AR"/>
        </w:rPr>
        <w:t>.</w:t>
      </w:r>
      <w:r w:rsidR="008834BA" w:rsidRPr="00EB01E0">
        <w:rPr>
          <w:lang w:val="es-AR"/>
        </w:rPr>
        <w:t>8</w:t>
      </w:r>
      <w:r w:rsidR="006C4905" w:rsidRPr="00EB01E0">
        <w:rPr>
          <w:lang w:val="es-AR"/>
        </w:rPr>
        <w:t>%</w:t>
      </w:r>
      <w:r w:rsidR="008834BA" w:rsidRPr="00EB01E0">
        <w:rPr>
          <w:lang w:val="es-AR"/>
        </w:rPr>
        <w:t>), Eg</w:t>
      </w:r>
      <w:r w:rsidRPr="00EB01E0">
        <w:rPr>
          <w:lang w:val="es-AR"/>
        </w:rPr>
        <w:t>ipto</w:t>
      </w:r>
      <w:r w:rsidR="008834BA" w:rsidRPr="00EB01E0">
        <w:rPr>
          <w:lang w:val="es-AR"/>
        </w:rPr>
        <w:t xml:space="preserve"> (+20</w:t>
      </w:r>
      <w:r w:rsidR="00424098">
        <w:rPr>
          <w:lang w:val="es-AR"/>
        </w:rPr>
        <w:t>,</w:t>
      </w:r>
      <w:r w:rsidR="008834BA" w:rsidRPr="00EB01E0">
        <w:rPr>
          <w:lang w:val="es-AR"/>
        </w:rPr>
        <w:t xml:space="preserve">9%) </w:t>
      </w:r>
      <w:r w:rsidRPr="00EB01E0">
        <w:rPr>
          <w:lang w:val="es-AR"/>
        </w:rPr>
        <w:t>y las Filipinas</w:t>
      </w:r>
      <w:r w:rsidR="008834BA" w:rsidRPr="00EB01E0">
        <w:rPr>
          <w:lang w:val="es-AR"/>
        </w:rPr>
        <w:t xml:space="preserve"> (+11</w:t>
      </w:r>
      <w:r w:rsidR="00424098">
        <w:rPr>
          <w:lang w:val="es-AR"/>
        </w:rPr>
        <w:t>,</w:t>
      </w:r>
      <w:r w:rsidR="008834BA" w:rsidRPr="00EB01E0">
        <w:rPr>
          <w:lang w:val="es-AR"/>
        </w:rPr>
        <w:t xml:space="preserve">9%). </w:t>
      </w:r>
      <w:r w:rsidRPr="00EB01E0">
        <w:rPr>
          <w:lang w:val="es-AR"/>
        </w:rPr>
        <w:t>Algunos mercados desarrollados también mostraron un alto crecimiento de un d</w:t>
      </w:r>
      <w:r w:rsidR="00424098">
        <w:rPr>
          <w:lang w:val="es-AR"/>
        </w:rPr>
        <w:t>í</w:t>
      </w:r>
      <w:r w:rsidRPr="00EB01E0">
        <w:rPr>
          <w:lang w:val="es-AR"/>
        </w:rPr>
        <w:t>gito</w:t>
      </w:r>
      <w:r w:rsidR="008834BA" w:rsidRPr="00EB01E0">
        <w:rPr>
          <w:lang w:val="es-AR"/>
        </w:rPr>
        <w:t>: S</w:t>
      </w:r>
      <w:r w:rsidRPr="00EB01E0">
        <w:rPr>
          <w:lang w:val="es-AR"/>
        </w:rPr>
        <w:t xml:space="preserve">uecia </w:t>
      </w:r>
      <w:r w:rsidR="008834BA" w:rsidRPr="00EB01E0">
        <w:rPr>
          <w:lang w:val="es-AR"/>
        </w:rPr>
        <w:t>(+9</w:t>
      </w:r>
      <w:r w:rsidR="00424098">
        <w:rPr>
          <w:lang w:val="es-AR"/>
        </w:rPr>
        <w:t>,</w:t>
      </w:r>
      <w:r w:rsidR="008834BA" w:rsidRPr="00EB01E0">
        <w:rPr>
          <w:lang w:val="es-AR"/>
        </w:rPr>
        <w:t>5%)</w:t>
      </w:r>
      <w:r w:rsidR="001B6DEE" w:rsidRPr="00EB01E0">
        <w:rPr>
          <w:lang w:val="es-AR"/>
        </w:rPr>
        <w:t xml:space="preserve">, </w:t>
      </w:r>
      <w:r w:rsidR="00424098">
        <w:rPr>
          <w:lang w:val="es-AR"/>
        </w:rPr>
        <w:t>y</w:t>
      </w:r>
      <w:r w:rsidRPr="00EB01E0">
        <w:rPr>
          <w:lang w:val="es-AR"/>
        </w:rPr>
        <w:t xml:space="preserve"> España</w:t>
      </w:r>
      <w:r w:rsidR="001B6DEE" w:rsidRPr="00EB01E0">
        <w:rPr>
          <w:lang w:val="es-AR"/>
        </w:rPr>
        <w:t xml:space="preserve"> (+5</w:t>
      </w:r>
      <w:r w:rsidR="00424098">
        <w:rPr>
          <w:lang w:val="es-AR"/>
        </w:rPr>
        <w:t>,</w:t>
      </w:r>
      <w:r w:rsidR="001B6DEE" w:rsidRPr="00EB01E0">
        <w:rPr>
          <w:lang w:val="es-AR"/>
        </w:rPr>
        <w:t>9%)</w:t>
      </w:r>
      <w:r w:rsidR="00424098">
        <w:rPr>
          <w:lang w:val="es-AR"/>
        </w:rPr>
        <w:t>,</w:t>
      </w:r>
      <w:r>
        <w:rPr>
          <w:lang w:val="es-AR"/>
        </w:rPr>
        <w:t xml:space="preserve"> pero la mayoría de ellos experimentaron tasas entre </w:t>
      </w:r>
      <w:r w:rsidR="001B6DEE" w:rsidRPr="00EB01E0">
        <w:rPr>
          <w:lang w:val="es-AR"/>
        </w:rPr>
        <w:t xml:space="preserve">0% </w:t>
      </w:r>
      <w:r>
        <w:rPr>
          <w:lang w:val="es-AR"/>
        </w:rPr>
        <w:t>y</w:t>
      </w:r>
      <w:r w:rsidR="001B6DEE" w:rsidRPr="00EB01E0">
        <w:rPr>
          <w:lang w:val="es-AR"/>
        </w:rPr>
        <w:t xml:space="preserve"> 5%: </w:t>
      </w:r>
      <w:r w:rsidR="00424098">
        <w:rPr>
          <w:lang w:val="es-AR"/>
        </w:rPr>
        <w:t xml:space="preserve">el </w:t>
      </w:r>
      <w:r>
        <w:rPr>
          <w:lang w:val="es-AR"/>
        </w:rPr>
        <w:t xml:space="preserve">Reino Unido </w:t>
      </w:r>
      <w:r w:rsidR="001B6DEE" w:rsidRPr="00EB01E0">
        <w:rPr>
          <w:lang w:val="es-AR"/>
        </w:rPr>
        <w:t>(+4</w:t>
      </w:r>
      <w:r w:rsidR="00424098">
        <w:rPr>
          <w:lang w:val="es-AR"/>
        </w:rPr>
        <w:t>,</w:t>
      </w:r>
      <w:r w:rsidR="001B6DEE" w:rsidRPr="00EB01E0">
        <w:rPr>
          <w:lang w:val="es-AR"/>
        </w:rPr>
        <w:t>7%) Australia (+3</w:t>
      </w:r>
      <w:r w:rsidR="00424098">
        <w:rPr>
          <w:lang w:val="es-AR"/>
        </w:rPr>
        <w:t>,</w:t>
      </w:r>
      <w:r w:rsidR="001B6DEE" w:rsidRPr="00EB01E0">
        <w:rPr>
          <w:lang w:val="es-AR"/>
        </w:rPr>
        <w:t>2%), Canad</w:t>
      </w:r>
      <w:r>
        <w:rPr>
          <w:lang w:val="es-AR"/>
        </w:rPr>
        <w:t>á</w:t>
      </w:r>
      <w:r w:rsidR="001B6DEE" w:rsidRPr="00EB01E0">
        <w:rPr>
          <w:lang w:val="es-AR"/>
        </w:rPr>
        <w:t xml:space="preserve"> (+5</w:t>
      </w:r>
      <w:r w:rsidR="00424098">
        <w:rPr>
          <w:lang w:val="es-AR"/>
        </w:rPr>
        <w:t>,</w:t>
      </w:r>
      <w:r w:rsidR="001B6DEE" w:rsidRPr="00EB01E0">
        <w:rPr>
          <w:lang w:val="es-AR"/>
        </w:rPr>
        <w:t xml:space="preserve">2%), </w:t>
      </w:r>
      <w:r>
        <w:rPr>
          <w:lang w:val="es-AR"/>
        </w:rPr>
        <w:t>Alemania</w:t>
      </w:r>
      <w:r w:rsidR="001B6DEE" w:rsidRPr="00EB01E0">
        <w:rPr>
          <w:lang w:val="es-AR"/>
        </w:rPr>
        <w:t xml:space="preserve"> (+2</w:t>
      </w:r>
      <w:r w:rsidR="00424098">
        <w:rPr>
          <w:lang w:val="es-AR"/>
        </w:rPr>
        <w:t>,</w:t>
      </w:r>
      <w:r w:rsidR="001B6DEE" w:rsidRPr="00EB01E0">
        <w:rPr>
          <w:lang w:val="es-AR"/>
        </w:rPr>
        <w:t xml:space="preserve">5%) </w:t>
      </w:r>
      <w:r>
        <w:rPr>
          <w:lang w:val="es-AR"/>
        </w:rPr>
        <w:t>y los Estados Unidos</w:t>
      </w:r>
      <w:r w:rsidR="001B6DEE" w:rsidRPr="00EB01E0">
        <w:rPr>
          <w:lang w:val="es-AR"/>
        </w:rPr>
        <w:t xml:space="preserve"> (+2</w:t>
      </w:r>
      <w:r w:rsidR="00424098">
        <w:rPr>
          <w:lang w:val="es-AR"/>
        </w:rPr>
        <w:t>,</w:t>
      </w:r>
      <w:r w:rsidR="001B6DEE" w:rsidRPr="00EB01E0">
        <w:rPr>
          <w:lang w:val="es-AR"/>
        </w:rPr>
        <w:t xml:space="preserve">1%). </w:t>
      </w:r>
      <w:r>
        <w:rPr>
          <w:lang w:val="es-AR"/>
        </w:rPr>
        <w:t xml:space="preserve">Normalizado por (la falta de) eventos cíclicos, el crecimiento </w:t>
      </w:r>
      <w:r>
        <w:rPr>
          <w:lang w:val="es-AR"/>
        </w:rPr>
        <w:lastRenderedPageBreak/>
        <w:t xml:space="preserve">de los EEUU habría sido </w:t>
      </w:r>
      <w:r w:rsidR="00F71A12" w:rsidRPr="00EB01E0">
        <w:rPr>
          <w:lang w:val="es-AR"/>
        </w:rPr>
        <w:t>+3</w:t>
      </w:r>
      <w:r w:rsidR="00424098">
        <w:rPr>
          <w:lang w:val="es-AR"/>
        </w:rPr>
        <w:t>,</w:t>
      </w:r>
      <w:r w:rsidR="00F71A12" w:rsidRPr="00EB01E0">
        <w:rPr>
          <w:lang w:val="es-AR"/>
        </w:rPr>
        <w:t>9%</w:t>
      </w:r>
      <w:r w:rsidR="00E3274D" w:rsidRPr="00EB01E0">
        <w:rPr>
          <w:lang w:val="es-AR"/>
        </w:rPr>
        <w:t xml:space="preserve"> </w:t>
      </w:r>
      <w:r>
        <w:rPr>
          <w:lang w:val="es-AR"/>
        </w:rPr>
        <w:t xml:space="preserve">este año. Finalmente, un par de mercados (5 de 70) sufrieron un crecimiento negativo este año debido a varios factores locales, incluyendo a Singapur </w:t>
      </w:r>
      <w:r w:rsidR="00F71A12" w:rsidRPr="00EB01E0">
        <w:rPr>
          <w:lang w:val="es-AR"/>
        </w:rPr>
        <w:t>(-7</w:t>
      </w:r>
      <w:r w:rsidR="00424098">
        <w:rPr>
          <w:lang w:val="es-AR"/>
        </w:rPr>
        <w:t>,</w:t>
      </w:r>
      <w:r w:rsidR="00F71A12" w:rsidRPr="00EB01E0">
        <w:rPr>
          <w:lang w:val="es-AR"/>
        </w:rPr>
        <w:t xml:space="preserve">2%), </w:t>
      </w:r>
      <w:r w:rsidRPr="00EB01E0">
        <w:rPr>
          <w:lang w:val="es-AR"/>
        </w:rPr>
        <w:t>Corea del Sur</w:t>
      </w:r>
      <w:r w:rsidR="00F71A12" w:rsidRPr="00EB01E0">
        <w:rPr>
          <w:lang w:val="es-AR"/>
        </w:rPr>
        <w:t xml:space="preserve"> (-0</w:t>
      </w:r>
      <w:r w:rsidR="00424098">
        <w:rPr>
          <w:lang w:val="es-AR"/>
        </w:rPr>
        <w:t>,</w:t>
      </w:r>
      <w:r w:rsidR="00F71A12" w:rsidRPr="00EB01E0">
        <w:rPr>
          <w:lang w:val="es-AR"/>
        </w:rPr>
        <w:t>8%), Per</w:t>
      </w:r>
      <w:r w:rsidRPr="00EB01E0">
        <w:rPr>
          <w:lang w:val="es-AR"/>
        </w:rPr>
        <w:t>ú</w:t>
      </w:r>
      <w:r w:rsidR="00F71A12" w:rsidRPr="00EB01E0">
        <w:rPr>
          <w:lang w:val="es-AR"/>
        </w:rPr>
        <w:t xml:space="preserve"> (-2</w:t>
      </w:r>
      <w:r w:rsidR="00424098">
        <w:rPr>
          <w:lang w:val="es-AR"/>
        </w:rPr>
        <w:t>,</w:t>
      </w:r>
      <w:r w:rsidR="00F71A12" w:rsidRPr="00EB01E0">
        <w:rPr>
          <w:lang w:val="es-AR"/>
        </w:rPr>
        <w:t xml:space="preserve">0%) </w:t>
      </w:r>
      <w:r w:rsidRPr="00EB01E0">
        <w:rPr>
          <w:lang w:val="es-AR"/>
        </w:rPr>
        <w:t>y Tailandia</w:t>
      </w:r>
      <w:r w:rsidR="00F71A12" w:rsidRPr="00EB01E0">
        <w:rPr>
          <w:lang w:val="es-AR"/>
        </w:rPr>
        <w:t xml:space="preserve"> (-2</w:t>
      </w:r>
      <w:r w:rsidR="00424098">
        <w:rPr>
          <w:lang w:val="es-AR"/>
        </w:rPr>
        <w:t>,</w:t>
      </w:r>
      <w:r w:rsidR="00F71A12" w:rsidRPr="00EB01E0">
        <w:rPr>
          <w:lang w:val="es-AR"/>
        </w:rPr>
        <w:t>4%).</w:t>
      </w:r>
    </w:p>
    <w:p w14:paraId="1EF5BED2" w14:textId="77777777" w:rsidR="007074A8" w:rsidRPr="00EB01E0" w:rsidRDefault="007074A8" w:rsidP="00805E69">
      <w:pPr>
        <w:spacing w:after="0" w:line="240" w:lineRule="auto"/>
        <w:jc w:val="both"/>
        <w:rPr>
          <w:lang w:val="es-AR"/>
        </w:rPr>
      </w:pPr>
    </w:p>
    <w:p w14:paraId="3C332FB1" w14:textId="77777777" w:rsidR="00EB01E0" w:rsidRPr="00EB01E0" w:rsidRDefault="00EB01E0" w:rsidP="00805E69">
      <w:pPr>
        <w:spacing w:after="0" w:line="240" w:lineRule="auto"/>
        <w:jc w:val="both"/>
        <w:rPr>
          <w:lang w:val="es-AR"/>
        </w:rPr>
      </w:pPr>
    </w:p>
    <w:p w14:paraId="6EFF1268" w14:textId="069068C2" w:rsidR="002D67F8" w:rsidRPr="002F6C54" w:rsidRDefault="002F6C54" w:rsidP="00805E69">
      <w:pPr>
        <w:spacing w:after="0" w:line="240" w:lineRule="auto"/>
        <w:jc w:val="both"/>
        <w:rPr>
          <w:lang w:val="es-AR"/>
        </w:rPr>
      </w:pPr>
      <w:r w:rsidRPr="002F6C54">
        <w:rPr>
          <w:lang w:val="es-AR"/>
        </w:rPr>
        <w:t xml:space="preserve">En relación a las categorías de medios, la </w:t>
      </w:r>
      <w:r w:rsidR="00B36E34" w:rsidRPr="002F6C54">
        <w:rPr>
          <w:lang w:val="es-AR"/>
        </w:rPr>
        <w:t>televisión</w:t>
      </w:r>
      <w:r w:rsidRPr="002F6C54">
        <w:rPr>
          <w:lang w:val="es-AR"/>
        </w:rPr>
        <w:t xml:space="preserve"> lineal sufrió la caída de ratings, lo cual debilit</w:t>
      </w:r>
      <w:r w:rsidR="00424098">
        <w:rPr>
          <w:lang w:val="es-AR"/>
        </w:rPr>
        <w:t>ó</w:t>
      </w:r>
      <w:r w:rsidRPr="002F6C54">
        <w:rPr>
          <w:lang w:val="es-AR"/>
        </w:rPr>
        <w:t xml:space="preserve"> el poder de l</w:t>
      </w:r>
      <w:r w:rsidR="00424098">
        <w:rPr>
          <w:lang w:val="es-AR"/>
        </w:rPr>
        <w:t>a fijación de</w:t>
      </w:r>
      <w:r w:rsidRPr="002F6C54">
        <w:rPr>
          <w:lang w:val="es-AR"/>
        </w:rPr>
        <w:t xml:space="preserve"> precios y la falta de eventos </w:t>
      </w:r>
      <w:r w:rsidR="00B36E34" w:rsidRPr="002F6C54">
        <w:rPr>
          <w:lang w:val="es-AR"/>
        </w:rPr>
        <w:t>cíclicos</w:t>
      </w:r>
      <w:r w:rsidRPr="002F6C54">
        <w:rPr>
          <w:lang w:val="es-AR"/>
        </w:rPr>
        <w:t xml:space="preserve">. A nivel global, el NAR en TV cayó </w:t>
      </w:r>
      <w:r w:rsidR="002D67F8" w:rsidRPr="002F6C54">
        <w:rPr>
          <w:lang w:val="es-AR"/>
        </w:rPr>
        <w:t xml:space="preserve">-2% </w:t>
      </w:r>
      <w:r w:rsidR="00B36E34" w:rsidRPr="002F6C54">
        <w:rPr>
          <w:lang w:val="es-AR"/>
        </w:rPr>
        <w:t>alcanzando</w:t>
      </w:r>
      <w:r w:rsidRPr="002F6C54">
        <w:rPr>
          <w:lang w:val="es-AR"/>
        </w:rPr>
        <w:t xml:space="preserve"> los </w:t>
      </w:r>
      <w:r w:rsidR="002D67F8" w:rsidRPr="002F6C54">
        <w:rPr>
          <w:lang w:val="es-AR"/>
        </w:rPr>
        <w:t>178</w:t>
      </w:r>
      <w:r w:rsidRPr="002F6C54">
        <w:rPr>
          <w:lang w:val="es-AR"/>
        </w:rPr>
        <w:t xml:space="preserve"> mil millones de d</w:t>
      </w:r>
      <w:r>
        <w:rPr>
          <w:lang w:val="es-AR"/>
        </w:rPr>
        <w:t>ólares</w:t>
      </w:r>
      <w:r w:rsidR="002D67F8" w:rsidRPr="002F6C54">
        <w:rPr>
          <w:lang w:val="es-AR"/>
        </w:rPr>
        <w:t xml:space="preserve"> (</w:t>
      </w:r>
      <w:r>
        <w:rPr>
          <w:lang w:val="es-AR"/>
        </w:rPr>
        <w:t xml:space="preserve">TV abierta </w:t>
      </w:r>
      <w:r w:rsidR="002D67F8" w:rsidRPr="002F6C54">
        <w:rPr>
          <w:lang w:val="es-AR"/>
        </w:rPr>
        <w:t>-2</w:t>
      </w:r>
      <w:r w:rsidR="00992617">
        <w:rPr>
          <w:lang w:val="es-AR"/>
        </w:rPr>
        <w:t>,</w:t>
      </w:r>
      <w:r w:rsidR="00AA7B81" w:rsidRPr="002F6C54">
        <w:rPr>
          <w:lang w:val="es-AR"/>
        </w:rPr>
        <w:t>5</w:t>
      </w:r>
      <w:r w:rsidR="002D67F8" w:rsidRPr="002F6C54">
        <w:rPr>
          <w:lang w:val="es-AR"/>
        </w:rPr>
        <w:t xml:space="preserve">%, </w:t>
      </w:r>
      <w:r>
        <w:rPr>
          <w:lang w:val="es-AR"/>
        </w:rPr>
        <w:t xml:space="preserve">TV Paga </w:t>
      </w:r>
      <w:r w:rsidR="002D67F8" w:rsidRPr="002F6C54">
        <w:rPr>
          <w:lang w:val="es-AR"/>
        </w:rPr>
        <w:t>-0</w:t>
      </w:r>
      <w:r w:rsidR="00992617">
        <w:rPr>
          <w:lang w:val="es-AR"/>
        </w:rPr>
        <w:t>,</w:t>
      </w:r>
      <w:r w:rsidR="002D67F8" w:rsidRPr="002F6C54">
        <w:rPr>
          <w:lang w:val="es-AR"/>
        </w:rPr>
        <w:t xml:space="preserve">9%). </w:t>
      </w:r>
      <w:r w:rsidRPr="002F6C54">
        <w:rPr>
          <w:lang w:val="es-AR"/>
        </w:rPr>
        <w:t xml:space="preserve">Durante el </w:t>
      </w:r>
      <w:r w:rsidR="00B36E34" w:rsidRPr="002F6C54">
        <w:rPr>
          <w:lang w:val="es-AR"/>
        </w:rPr>
        <w:t>último</w:t>
      </w:r>
      <w:r w:rsidRPr="002F6C54">
        <w:rPr>
          <w:lang w:val="es-AR"/>
        </w:rPr>
        <w:t xml:space="preserve"> año impar (2015) el NAR en TV hab</w:t>
      </w:r>
      <w:r>
        <w:rPr>
          <w:lang w:val="es-AR"/>
        </w:rPr>
        <w:t xml:space="preserve">ía estado sin variación. De los 70 mercados analizados por MAGNA, 41 mostraron cierto nivel de </w:t>
      </w:r>
      <w:r w:rsidR="00B36E34">
        <w:rPr>
          <w:lang w:val="es-AR"/>
        </w:rPr>
        <w:t>crecimiento</w:t>
      </w:r>
      <w:r>
        <w:rPr>
          <w:lang w:val="es-AR"/>
        </w:rPr>
        <w:t xml:space="preserve"> en </w:t>
      </w:r>
      <w:r w:rsidR="00B36E34">
        <w:rPr>
          <w:lang w:val="es-AR"/>
        </w:rPr>
        <w:t>el</w:t>
      </w:r>
      <w:r>
        <w:rPr>
          <w:lang w:val="es-AR"/>
        </w:rPr>
        <w:t xml:space="preserve"> NAR para TV en 2017, mientras que </w:t>
      </w:r>
      <w:r w:rsidRPr="002F6C54">
        <w:rPr>
          <w:b/>
          <w:lang w:val="es-AR"/>
        </w:rPr>
        <w:t>29 mercados tuvieron caídas</w:t>
      </w:r>
      <w:r>
        <w:rPr>
          <w:lang w:val="es-AR"/>
        </w:rPr>
        <w:t xml:space="preserve">, incluyendo la mitad de los principales diez mercados </w:t>
      </w:r>
      <w:r w:rsidR="002D67F8" w:rsidRPr="002F6C54">
        <w:rPr>
          <w:lang w:val="es-AR"/>
        </w:rPr>
        <w:t>(</w:t>
      </w:r>
      <w:r w:rsidRPr="002F6C54">
        <w:rPr>
          <w:lang w:val="es-AR"/>
        </w:rPr>
        <w:t xml:space="preserve">EEUU, </w:t>
      </w:r>
      <w:r w:rsidR="00992617">
        <w:rPr>
          <w:lang w:val="es-AR"/>
        </w:rPr>
        <w:t>el Reino Unido,</w:t>
      </w:r>
      <w:r w:rsidRPr="002F6C54">
        <w:rPr>
          <w:lang w:val="es-AR"/>
        </w:rPr>
        <w:t xml:space="preserve"> </w:t>
      </w:r>
      <w:r w:rsidR="002D67F8" w:rsidRPr="002F6C54">
        <w:rPr>
          <w:lang w:val="es-AR"/>
        </w:rPr>
        <w:t>Canad</w:t>
      </w:r>
      <w:r w:rsidRPr="002F6C54">
        <w:rPr>
          <w:lang w:val="es-AR"/>
        </w:rPr>
        <w:t>á</w:t>
      </w:r>
      <w:r w:rsidR="002D67F8" w:rsidRPr="002F6C54">
        <w:rPr>
          <w:lang w:val="es-AR"/>
        </w:rPr>
        <w:t>, Australia</w:t>
      </w:r>
      <w:r w:rsidR="00992617">
        <w:rPr>
          <w:lang w:val="es-AR"/>
        </w:rPr>
        <w:t xml:space="preserve"> y</w:t>
      </w:r>
      <w:r w:rsidR="002D67F8" w:rsidRPr="002F6C54">
        <w:rPr>
          <w:lang w:val="es-AR"/>
        </w:rPr>
        <w:t xml:space="preserve"> China).</w:t>
      </w:r>
    </w:p>
    <w:p w14:paraId="54A64BC4" w14:textId="77777777" w:rsidR="007074A8" w:rsidRPr="002F6C54" w:rsidRDefault="007074A8" w:rsidP="00805E69">
      <w:pPr>
        <w:spacing w:after="0" w:line="240" w:lineRule="auto"/>
        <w:jc w:val="both"/>
        <w:rPr>
          <w:b/>
          <w:lang w:val="es-AR"/>
        </w:rPr>
      </w:pPr>
    </w:p>
    <w:p w14:paraId="219868F4" w14:textId="555ADF09" w:rsidR="002D67F8" w:rsidRPr="002F6C54" w:rsidRDefault="002F6C54" w:rsidP="00805E69">
      <w:pPr>
        <w:spacing w:after="0" w:line="240" w:lineRule="auto"/>
        <w:jc w:val="both"/>
        <w:rPr>
          <w:lang w:val="es-AR"/>
        </w:rPr>
      </w:pPr>
      <w:r w:rsidRPr="002F6C54">
        <w:rPr>
          <w:b/>
          <w:lang w:val="es-AR"/>
        </w:rPr>
        <w:t xml:space="preserve">La publicidad en gráfica </w:t>
      </w:r>
      <w:r w:rsidR="002D67F8" w:rsidRPr="002F6C54">
        <w:rPr>
          <w:lang w:val="es-AR"/>
        </w:rPr>
        <w:t>continu</w:t>
      </w:r>
      <w:r>
        <w:rPr>
          <w:lang w:val="es-AR"/>
        </w:rPr>
        <w:t>ó</w:t>
      </w:r>
      <w:r w:rsidRPr="002F6C54">
        <w:rPr>
          <w:lang w:val="es-AR"/>
        </w:rPr>
        <w:t xml:space="preserve"> con su disminución a largo plazo, impulsad</w:t>
      </w:r>
      <w:r w:rsidR="00992617">
        <w:rPr>
          <w:lang w:val="es-AR"/>
        </w:rPr>
        <w:t>a</w:t>
      </w:r>
      <w:r w:rsidRPr="002F6C54">
        <w:rPr>
          <w:lang w:val="es-AR"/>
        </w:rPr>
        <w:t xml:space="preserve"> por la combinación – en la mayor</w:t>
      </w:r>
      <w:r>
        <w:rPr>
          <w:lang w:val="es-AR"/>
        </w:rPr>
        <w:t xml:space="preserve">ía de los mercados- de menos títulos, menos páginas publicitarias, menos lectores y </w:t>
      </w:r>
      <w:r w:rsidR="00992617">
        <w:rPr>
          <w:lang w:val="es-AR"/>
        </w:rPr>
        <w:t xml:space="preserve">el debilitamiento de los </w:t>
      </w:r>
      <w:r>
        <w:rPr>
          <w:lang w:val="es-AR"/>
        </w:rPr>
        <w:t xml:space="preserve">precios. Las ventas publicitarias </w:t>
      </w:r>
      <w:r w:rsidR="00992617">
        <w:rPr>
          <w:lang w:val="es-AR"/>
        </w:rPr>
        <w:t>para</w:t>
      </w:r>
      <w:r>
        <w:rPr>
          <w:lang w:val="es-AR"/>
        </w:rPr>
        <w:t xml:space="preserve"> gráfica en papel </w:t>
      </w:r>
      <w:r w:rsidR="00B36E34">
        <w:rPr>
          <w:lang w:val="es-AR"/>
        </w:rPr>
        <w:t>disminuyeron</w:t>
      </w:r>
      <w:r>
        <w:rPr>
          <w:lang w:val="es-AR"/>
        </w:rPr>
        <w:t xml:space="preserve"> </w:t>
      </w:r>
      <w:r w:rsidR="00AB0BAB" w:rsidRPr="002F6C54">
        <w:rPr>
          <w:b/>
          <w:lang w:val="es-AR"/>
        </w:rPr>
        <w:t>-</w:t>
      </w:r>
      <w:r w:rsidR="002D67F8" w:rsidRPr="002F6C54">
        <w:rPr>
          <w:b/>
          <w:lang w:val="es-AR"/>
        </w:rPr>
        <w:t xml:space="preserve">11% </w:t>
      </w:r>
      <w:r w:rsidRPr="002F6C54">
        <w:rPr>
          <w:b/>
          <w:lang w:val="es-AR"/>
        </w:rPr>
        <w:t xml:space="preserve">alcanzando los </w:t>
      </w:r>
      <w:r w:rsidR="002D67F8" w:rsidRPr="002F6C54">
        <w:rPr>
          <w:b/>
          <w:lang w:val="es-AR"/>
        </w:rPr>
        <w:t>61</w:t>
      </w:r>
      <w:r>
        <w:rPr>
          <w:b/>
          <w:lang w:val="es-AR"/>
        </w:rPr>
        <w:t xml:space="preserve"> mil millones de dólares</w:t>
      </w:r>
      <w:r w:rsidR="002D67F8" w:rsidRPr="002F6C54">
        <w:rPr>
          <w:b/>
          <w:lang w:val="es-AR"/>
        </w:rPr>
        <w:t>.</w:t>
      </w:r>
      <w:r w:rsidR="002D67F8" w:rsidRPr="002F6C54">
        <w:rPr>
          <w:lang w:val="es-AR"/>
        </w:rPr>
        <w:t xml:space="preserve"> </w:t>
      </w:r>
      <w:r w:rsidRPr="002F6C54">
        <w:rPr>
          <w:lang w:val="es-AR"/>
        </w:rPr>
        <w:t>Las ventas publicitarias gráficas ahora est</w:t>
      </w:r>
      <w:r>
        <w:rPr>
          <w:lang w:val="es-AR"/>
        </w:rPr>
        <w:t>á</w:t>
      </w:r>
      <w:r w:rsidRPr="002F6C54">
        <w:rPr>
          <w:lang w:val="es-AR"/>
        </w:rPr>
        <w:t>n disminuyendo en 65 de los 70 mercados analizados por MAGNA. Las únicas excepciones se encue</w:t>
      </w:r>
      <w:r>
        <w:rPr>
          <w:lang w:val="es-AR"/>
        </w:rPr>
        <w:t>n</w:t>
      </w:r>
      <w:r w:rsidRPr="002F6C54">
        <w:rPr>
          <w:lang w:val="es-AR"/>
        </w:rPr>
        <w:t>tran en el subcontine</w:t>
      </w:r>
      <w:r w:rsidRPr="009F15B8">
        <w:rPr>
          <w:lang w:val="es-AR"/>
        </w:rPr>
        <w:t>nte de la India y Austria. Los ingresos digitales generados por los editores de noticias y los títulos de</w:t>
      </w:r>
      <w:r>
        <w:rPr>
          <w:lang w:val="es-AR"/>
        </w:rPr>
        <w:t xml:space="preserve"> revistas no están creciendo lo suficientemente rápido como para compensar el rápido descenso de las ventas publicitarias de páginas tradicionales. </w:t>
      </w:r>
      <w:r w:rsidRPr="002F6C54">
        <w:rPr>
          <w:lang w:val="es-AR"/>
        </w:rPr>
        <w:t>L</w:t>
      </w:r>
      <w:r>
        <w:rPr>
          <w:lang w:val="es-AR"/>
        </w:rPr>
        <w:t>a</w:t>
      </w:r>
      <w:r w:rsidRPr="002F6C54">
        <w:rPr>
          <w:lang w:val="es-AR"/>
        </w:rPr>
        <w:t xml:space="preserve"> reducción y la consol</w:t>
      </w:r>
      <w:r>
        <w:rPr>
          <w:lang w:val="es-AR"/>
        </w:rPr>
        <w:t>i</w:t>
      </w:r>
      <w:r w:rsidRPr="002F6C54">
        <w:rPr>
          <w:lang w:val="es-AR"/>
        </w:rPr>
        <w:t>dación (p.e. la reciente fusi</w:t>
      </w:r>
      <w:r>
        <w:rPr>
          <w:lang w:val="es-AR"/>
        </w:rPr>
        <w:t>ó</w:t>
      </w:r>
      <w:r w:rsidRPr="002F6C54">
        <w:rPr>
          <w:lang w:val="es-AR"/>
        </w:rPr>
        <w:t xml:space="preserve">n de </w:t>
      </w:r>
      <w:r w:rsidR="00AB0BAB" w:rsidRPr="002F6C54">
        <w:rPr>
          <w:lang w:val="es-AR"/>
        </w:rPr>
        <w:t xml:space="preserve">Meredith-Time Inc.) </w:t>
      </w:r>
      <w:r>
        <w:rPr>
          <w:lang w:val="es-AR"/>
        </w:rPr>
        <w:t xml:space="preserve">son factores que están </w:t>
      </w:r>
      <w:r w:rsidR="00992617">
        <w:rPr>
          <w:lang w:val="es-AR"/>
        </w:rPr>
        <w:t xml:space="preserve">ocurriendo </w:t>
      </w:r>
      <w:r>
        <w:rPr>
          <w:lang w:val="es-AR"/>
        </w:rPr>
        <w:t xml:space="preserve">en la industria para enfrentar este desafío. </w:t>
      </w:r>
    </w:p>
    <w:p w14:paraId="0AB57101" w14:textId="77777777" w:rsidR="007074A8" w:rsidRPr="002F6C54" w:rsidRDefault="007074A8" w:rsidP="00805E69">
      <w:pPr>
        <w:spacing w:after="0" w:line="240" w:lineRule="auto"/>
        <w:jc w:val="both"/>
        <w:rPr>
          <w:b/>
          <w:lang w:val="es-AR"/>
        </w:rPr>
      </w:pPr>
    </w:p>
    <w:p w14:paraId="1F6E4D85" w14:textId="1A2B4E50" w:rsidR="00856F32" w:rsidRPr="004860E3" w:rsidRDefault="002F6C54" w:rsidP="00805E69">
      <w:pPr>
        <w:spacing w:after="0" w:line="240" w:lineRule="auto"/>
        <w:jc w:val="both"/>
        <w:rPr>
          <w:lang w:val="es-AR"/>
        </w:rPr>
      </w:pPr>
      <w:r w:rsidRPr="004860E3">
        <w:rPr>
          <w:b/>
          <w:lang w:val="es-AR"/>
        </w:rPr>
        <w:t xml:space="preserve">La publicidad en radio </w:t>
      </w:r>
      <w:r w:rsidRPr="004860E3">
        <w:rPr>
          <w:lang w:val="es-AR"/>
        </w:rPr>
        <w:t>se ve desafiada por el aumento de los sitios de m</w:t>
      </w:r>
      <w:r w:rsidR="004860E3">
        <w:rPr>
          <w:lang w:val="es-AR"/>
        </w:rPr>
        <w:t>ú</w:t>
      </w:r>
      <w:r w:rsidRPr="004860E3">
        <w:rPr>
          <w:lang w:val="es-AR"/>
        </w:rPr>
        <w:t>sica en streaming y el uso de las redes sociales y b</w:t>
      </w:r>
      <w:r w:rsidR="004860E3" w:rsidRPr="004860E3">
        <w:rPr>
          <w:lang w:val="es-AR"/>
        </w:rPr>
        <w:t>úsqueda por parte de negocios locales que sol</w:t>
      </w:r>
      <w:r w:rsidR="004860E3">
        <w:rPr>
          <w:lang w:val="es-AR"/>
        </w:rPr>
        <w:t xml:space="preserve">ían ser leales a este canal de medios reactivo y de bajo costo. Las ventas publicitarias globales disminuyeron </w:t>
      </w:r>
      <w:r w:rsidR="002479CA" w:rsidRPr="004860E3">
        <w:rPr>
          <w:b/>
          <w:lang w:val="es-AR"/>
        </w:rPr>
        <w:t>-</w:t>
      </w:r>
      <w:r w:rsidR="00856F32" w:rsidRPr="004860E3">
        <w:rPr>
          <w:b/>
          <w:lang w:val="es-AR"/>
        </w:rPr>
        <w:t xml:space="preserve">1% </w:t>
      </w:r>
      <w:r w:rsidR="004860E3" w:rsidRPr="004860E3">
        <w:rPr>
          <w:b/>
          <w:lang w:val="es-AR"/>
        </w:rPr>
        <w:t xml:space="preserve">alcanzando los </w:t>
      </w:r>
      <w:r w:rsidR="00856F32" w:rsidRPr="004860E3">
        <w:rPr>
          <w:b/>
          <w:lang w:val="es-AR"/>
        </w:rPr>
        <w:t>28</w:t>
      </w:r>
      <w:r w:rsidR="004860E3" w:rsidRPr="004860E3">
        <w:rPr>
          <w:b/>
          <w:lang w:val="es-AR"/>
        </w:rPr>
        <w:t xml:space="preserve"> mil millones de d</w:t>
      </w:r>
      <w:r w:rsidR="004860E3">
        <w:rPr>
          <w:b/>
          <w:lang w:val="es-AR"/>
        </w:rPr>
        <w:t>ólares</w:t>
      </w:r>
      <w:r w:rsidR="00856F32" w:rsidRPr="004860E3">
        <w:rPr>
          <w:lang w:val="es-AR"/>
        </w:rPr>
        <w:t xml:space="preserve">. </w:t>
      </w:r>
      <w:r w:rsidR="004860E3" w:rsidRPr="004860E3">
        <w:rPr>
          <w:lang w:val="es-AR"/>
        </w:rPr>
        <w:t>Los</w:t>
      </w:r>
      <w:r w:rsidR="004860E3">
        <w:rPr>
          <w:lang w:val="es-AR"/>
        </w:rPr>
        <w:t xml:space="preserve"> in</w:t>
      </w:r>
      <w:r w:rsidR="004860E3" w:rsidRPr="004860E3">
        <w:rPr>
          <w:lang w:val="es-AR"/>
        </w:rPr>
        <w:t>gresos publicitarios en radio aún siguen creciendo en 45 de los 70 mercados analizad</w:t>
      </w:r>
      <w:r w:rsidR="004860E3">
        <w:rPr>
          <w:lang w:val="es-AR"/>
        </w:rPr>
        <w:t>o</w:t>
      </w:r>
      <w:r w:rsidR="004860E3" w:rsidRPr="004860E3">
        <w:rPr>
          <w:lang w:val="es-AR"/>
        </w:rPr>
        <w:t>s por MAGNA, pero tiene un retroceso en EEUU y Canad</w:t>
      </w:r>
      <w:r w:rsidR="004860E3">
        <w:rPr>
          <w:lang w:val="es-AR"/>
        </w:rPr>
        <w:t>á</w:t>
      </w:r>
      <w:r w:rsidR="004860E3" w:rsidRPr="004860E3">
        <w:rPr>
          <w:lang w:val="es-AR"/>
        </w:rPr>
        <w:t>.</w:t>
      </w:r>
    </w:p>
    <w:p w14:paraId="6DBCDBD2" w14:textId="77777777" w:rsidR="007074A8" w:rsidRPr="004860E3" w:rsidRDefault="007074A8" w:rsidP="00805E69">
      <w:pPr>
        <w:spacing w:after="0" w:line="240" w:lineRule="auto"/>
        <w:jc w:val="both"/>
        <w:rPr>
          <w:b/>
          <w:lang w:val="es-AR"/>
        </w:rPr>
      </w:pPr>
    </w:p>
    <w:p w14:paraId="6724CB89" w14:textId="6D855A2B" w:rsidR="00207FBE" w:rsidRPr="004860E3" w:rsidRDefault="004860E3" w:rsidP="00805E69">
      <w:pPr>
        <w:spacing w:after="0" w:line="240" w:lineRule="auto"/>
        <w:jc w:val="both"/>
        <w:rPr>
          <w:lang w:val="es-AR"/>
        </w:rPr>
      </w:pPr>
      <w:r w:rsidRPr="004860E3">
        <w:rPr>
          <w:lang w:val="es-AR"/>
        </w:rPr>
        <w:t xml:space="preserve">Los ingresos publicitarios en </w:t>
      </w:r>
      <w:r w:rsidRPr="004860E3">
        <w:rPr>
          <w:b/>
          <w:lang w:val="es-AR"/>
        </w:rPr>
        <w:t>vía p</w:t>
      </w:r>
      <w:r>
        <w:rPr>
          <w:b/>
          <w:lang w:val="es-AR"/>
        </w:rPr>
        <w:t>ú</w:t>
      </w:r>
      <w:r w:rsidRPr="004860E3">
        <w:rPr>
          <w:b/>
          <w:lang w:val="es-AR"/>
        </w:rPr>
        <w:t>blica</w:t>
      </w:r>
      <w:r w:rsidRPr="004860E3">
        <w:rPr>
          <w:lang w:val="es-AR"/>
        </w:rPr>
        <w:t xml:space="preserve"> (excluyendo cines) creció +3% en 2017, alcanza</w:t>
      </w:r>
      <w:r>
        <w:rPr>
          <w:lang w:val="es-AR"/>
        </w:rPr>
        <w:t>ndo</w:t>
      </w:r>
      <w:r w:rsidRPr="004860E3">
        <w:rPr>
          <w:lang w:val="es-AR"/>
        </w:rPr>
        <w:t xml:space="preserve"> un r</w:t>
      </w:r>
      <w:r>
        <w:rPr>
          <w:lang w:val="es-AR"/>
        </w:rPr>
        <w:t>é</w:t>
      </w:r>
      <w:r w:rsidRPr="004860E3">
        <w:rPr>
          <w:lang w:val="es-AR"/>
        </w:rPr>
        <w:t xml:space="preserve">cord de </w:t>
      </w:r>
      <w:r w:rsidRPr="009C6DC2">
        <w:rPr>
          <w:lang w:val="es-AR"/>
        </w:rPr>
        <w:t>29</w:t>
      </w:r>
      <w:r w:rsidR="009C6DC2" w:rsidRPr="009C6DC2">
        <w:rPr>
          <w:lang w:val="es-AR"/>
        </w:rPr>
        <w:t>.</w:t>
      </w:r>
      <w:r w:rsidRPr="009C6DC2">
        <w:rPr>
          <w:lang w:val="es-AR"/>
        </w:rPr>
        <w:t>5 mil millones d</w:t>
      </w:r>
      <w:r>
        <w:rPr>
          <w:lang w:val="es-AR"/>
        </w:rPr>
        <w:t xml:space="preserve">e dólares. El crecimiento está totalmente concentrado en el segmento OOH digital: los ingresos por parte de pantallas OOH, en tránsito y mobiliario urbano especialmente, están creciendo 16% y alcanzan los </w:t>
      </w:r>
      <w:r w:rsidRPr="009C6DC2">
        <w:rPr>
          <w:lang w:val="es-AR"/>
        </w:rPr>
        <w:t>4</w:t>
      </w:r>
      <w:r w:rsidR="009C6DC2" w:rsidRPr="009C6DC2">
        <w:rPr>
          <w:lang w:val="es-AR"/>
        </w:rPr>
        <w:t>.</w:t>
      </w:r>
      <w:r w:rsidRPr="009C6DC2">
        <w:rPr>
          <w:lang w:val="es-AR"/>
        </w:rPr>
        <w:t>8 mil millones</w:t>
      </w:r>
      <w:r>
        <w:rPr>
          <w:lang w:val="es-AR"/>
        </w:rPr>
        <w:t xml:space="preserve"> de dólares (16% del total de ingresos en OOH). </w:t>
      </w:r>
      <w:r w:rsidRPr="004860E3">
        <w:rPr>
          <w:lang w:val="es-AR"/>
        </w:rPr>
        <w:t xml:space="preserve"> </w:t>
      </w:r>
    </w:p>
    <w:p w14:paraId="014A0ACB" w14:textId="77777777" w:rsidR="007074A8" w:rsidRPr="004860E3" w:rsidRDefault="007074A8" w:rsidP="00805E69">
      <w:pPr>
        <w:spacing w:after="0" w:line="240" w:lineRule="auto"/>
        <w:jc w:val="both"/>
        <w:rPr>
          <w:lang w:val="es-AR"/>
        </w:rPr>
      </w:pPr>
    </w:p>
    <w:p w14:paraId="72A4C368" w14:textId="0CE96CA6" w:rsidR="009E5C31" w:rsidRPr="004860E3" w:rsidRDefault="004860E3" w:rsidP="00805E69">
      <w:pPr>
        <w:spacing w:after="0" w:line="240" w:lineRule="auto"/>
        <w:jc w:val="both"/>
        <w:rPr>
          <w:lang w:val="es-AR"/>
        </w:rPr>
      </w:pPr>
      <w:r w:rsidRPr="004860E3">
        <w:rPr>
          <w:lang w:val="es-AR"/>
        </w:rPr>
        <w:t>Una vez más el crecimiento de 2017 se concentr</w:t>
      </w:r>
      <w:r>
        <w:rPr>
          <w:lang w:val="es-AR"/>
        </w:rPr>
        <w:t xml:space="preserve">ó en los formatos digitales. </w:t>
      </w:r>
      <w:r w:rsidRPr="004860E3">
        <w:rPr>
          <w:lang w:val="es-AR"/>
        </w:rPr>
        <w:t xml:space="preserve">Las ventas publicitarias online crecieron </w:t>
      </w:r>
      <w:r w:rsidR="00F97977" w:rsidRPr="004860E3">
        <w:rPr>
          <w:lang w:val="es-AR"/>
        </w:rPr>
        <w:t>+</w:t>
      </w:r>
      <w:r w:rsidR="009E5C31" w:rsidRPr="004860E3">
        <w:rPr>
          <w:lang w:val="es-AR"/>
        </w:rPr>
        <w:t>17</w:t>
      </w:r>
      <w:r w:rsidR="00F97977" w:rsidRPr="004860E3">
        <w:rPr>
          <w:lang w:val="es-AR"/>
        </w:rPr>
        <w:t xml:space="preserve">% </w:t>
      </w:r>
      <w:r w:rsidRPr="004860E3">
        <w:rPr>
          <w:lang w:val="es-AR"/>
        </w:rPr>
        <w:t xml:space="preserve">alcanzando los </w:t>
      </w:r>
      <w:r w:rsidR="00F97977" w:rsidRPr="004860E3">
        <w:rPr>
          <w:lang w:val="es-AR"/>
        </w:rPr>
        <w:t>209</w:t>
      </w:r>
      <w:r w:rsidRPr="004860E3">
        <w:rPr>
          <w:lang w:val="es-AR"/>
        </w:rPr>
        <w:t xml:space="preserve"> mil millones de dó</w:t>
      </w:r>
      <w:r>
        <w:rPr>
          <w:lang w:val="es-AR"/>
        </w:rPr>
        <w:t>la</w:t>
      </w:r>
      <w:r w:rsidRPr="004860E3">
        <w:rPr>
          <w:lang w:val="es-AR"/>
        </w:rPr>
        <w:t>res, mientras que las</w:t>
      </w:r>
      <w:r>
        <w:rPr>
          <w:lang w:val="es-AR"/>
        </w:rPr>
        <w:t xml:space="preserve"> ventas publicitarias offline (</w:t>
      </w:r>
      <w:r w:rsidRPr="004860E3">
        <w:rPr>
          <w:lang w:val="es-AR"/>
        </w:rPr>
        <w:t>TV lineal, radio, gr</w:t>
      </w:r>
      <w:r>
        <w:rPr>
          <w:lang w:val="es-AR"/>
        </w:rPr>
        <w:t xml:space="preserve">áfica, vía pública) disminuyeron </w:t>
      </w:r>
      <w:r w:rsidR="009E5C31" w:rsidRPr="004860E3">
        <w:rPr>
          <w:lang w:val="es-AR"/>
        </w:rPr>
        <w:t>-3%</w:t>
      </w:r>
      <w:r w:rsidR="00ED1248" w:rsidRPr="004860E3">
        <w:rPr>
          <w:lang w:val="es-AR"/>
        </w:rPr>
        <w:t xml:space="preserve"> </w:t>
      </w:r>
      <w:r>
        <w:rPr>
          <w:lang w:val="es-AR"/>
        </w:rPr>
        <w:t xml:space="preserve">alcanzando los </w:t>
      </w:r>
      <w:r w:rsidR="00ED1248" w:rsidRPr="004860E3">
        <w:rPr>
          <w:lang w:val="es-AR"/>
        </w:rPr>
        <w:t xml:space="preserve">300 </w:t>
      </w:r>
      <w:r>
        <w:rPr>
          <w:lang w:val="es-AR"/>
        </w:rPr>
        <w:t>mil millones de dólares</w:t>
      </w:r>
      <w:r w:rsidR="009E5C31" w:rsidRPr="004860E3">
        <w:rPr>
          <w:lang w:val="es-AR"/>
        </w:rPr>
        <w:t>.</w:t>
      </w:r>
      <w:r>
        <w:rPr>
          <w:lang w:val="es-AR"/>
        </w:rPr>
        <w:t xml:space="preserve"> </w:t>
      </w:r>
      <w:r w:rsidRPr="004860E3">
        <w:rPr>
          <w:lang w:val="es-AR"/>
        </w:rPr>
        <w:t xml:space="preserve">Es la mayor caída registrada </w:t>
      </w:r>
      <w:r>
        <w:rPr>
          <w:lang w:val="es-AR"/>
        </w:rPr>
        <w:t>par</w:t>
      </w:r>
      <w:r w:rsidRPr="004860E3">
        <w:rPr>
          <w:lang w:val="es-AR"/>
        </w:rPr>
        <w:t>a</w:t>
      </w:r>
      <w:r>
        <w:rPr>
          <w:lang w:val="es-AR"/>
        </w:rPr>
        <w:t xml:space="preserve"> </w:t>
      </w:r>
      <w:r w:rsidRPr="004860E3">
        <w:rPr>
          <w:lang w:val="es-AR"/>
        </w:rPr>
        <w:t>las ventas de medios offline.</w:t>
      </w:r>
      <w:r>
        <w:rPr>
          <w:lang w:val="es-AR"/>
        </w:rPr>
        <w:t xml:space="preserve"> Las ventas </w:t>
      </w:r>
      <w:r w:rsidR="00992617">
        <w:rPr>
          <w:lang w:val="es-AR"/>
        </w:rPr>
        <w:t>publicitarias tradicionales (</w:t>
      </w:r>
      <w:r>
        <w:rPr>
          <w:lang w:val="es-AR"/>
        </w:rPr>
        <w:t>especialmente</w:t>
      </w:r>
      <w:r w:rsidR="00992617">
        <w:rPr>
          <w:lang w:val="es-AR"/>
        </w:rPr>
        <w:t xml:space="preserve"> TV</w:t>
      </w:r>
      <w:r>
        <w:rPr>
          <w:lang w:val="es-AR"/>
        </w:rPr>
        <w:t xml:space="preserve">) suelen sufrir en los años pares, y el año anterior (2015) mostró una caída de </w:t>
      </w:r>
      <w:r w:rsidR="009E5C31" w:rsidRPr="004860E3">
        <w:rPr>
          <w:lang w:val="es-AR"/>
        </w:rPr>
        <w:t xml:space="preserve">-2%; </w:t>
      </w:r>
      <w:r w:rsidRPr="004860E3">
        <w:rPr>
          <w:lang w:val="es-AR"/>
        </w:rPr>
        <w:t xml:space="preserve">mientras tanto, </w:t>
      </w:r>
      <w:r w:rsidR="009E5C31" w:rsidRPr="004860E3">
        <w:rPr>
          <w:lang w:val="es-AR"/>
        </w:rPr>
        <w:t xml:space="preserve">2014 </w:t>
      </w:r>
      <w:r>
        <w:rPr>
          <w:lang w:val="es-AR"/>
        </w:rPr>
        <w:t>y</w:t>
      </w:r>
      <w:r w:rsidR="009E5C31" w:rsidRPr="004860E3">
        <w:rPr>
          <w:lang w:val="es-AR"/>
        </w:rPr>
        <w:t xml:space="preserve"> 2016 </w:t>
      </w:r>
      <w:r>
        <w:rPr>
          <w:lang w:val="es-AR"/>
        </w:rPr>
        <w:t xml:space="preserve">registraron </w:t>
      </w:r>
      <w:r w:rsidR="00992617">
        <w:rPr>
          <w:lang w:val="es-AR"/>
        </w:rPr>
        <w:t xml:space="preserve">un estancamiento en las </w:t>
      </w:r>
      <w:r>
        <w:rPr>
          <w:lang w:val="es-AR"/>
        </w:rPr>
        <w:t>ventas</w:t>
      </w:r>
      <w:r w:rsidR="009E5C31" w:rsidRPr="004860E3">
        <w:rPr>
          <w:lang w:val="es-AR"/>
        </w:rPr>
        <w:t xml:space="preserve"> </w:t>
      </w:r>
      <w:r>
        <w:rPr>
          <w:lang w:val="es-AR"/>
        </w:rPr>
        <w:t>para los formatos offline</w:t>
      </w:r>
      <w:r w:rsidR="009E5C31" w:rsidRPr="004860E3">
        <w:rPr>
          <w:lang w:val="es-AR"/>
        </w:rPr>
        <w:t>.</w:t>
      </w:r>
    </w:p>
    <w:p w14:paraId="07FF2A62" w14:textId="77777777" w:rsidR="00760A62" w:rsidRPr="004860E3" w:rsidRDefault="00760A62" w:rsidP="00805E69">
      <w:pPr>
        <w:jc w:val="both"/>
        <w:rPr>
          <w:rFonts w:ascii="Interstate Regular Cond" w:eastAsiaTheme="majorEastAsia" w:hAnsi="Interstate Regular Cond" w:cstheme="majorBidi"/>
          <w:b/>
          <w:bCs/>
          <w:sz w:val="36"/>
          <w:szCs w:val="28"/>
          <w:lang w:val="es-AR"/>
        </w:rPr>
      </w:pPr>
      <w:r w:rsidRPr="004860E3">
        <w:rPr>
          <w:lang w:val="es-AR"/>
        </w:rPr>
        <w:br w:type="page"/>
      </w:r>
    </w:p>
    <w:p w14:paraId="2CBC3AD9" w14:textId="15ADF3F7" w:rsidR="00265DE2" w:rsidRPr="00C12B7D" w:rsidRDefault="00546B1E" w:rsidP="00805E69">
      <w:pPr>
        <w:pStyle w:val="Heading1"/>
        <w:jc w:val="both"/>
        <w:rPr>
          <w:lang w:val="es-AR"/>
        </w:rPr>
      </w:pPr>
      <w:r w:rsidRPr="00C12B7D">
        <w:rPr>
          <w:lang w:val="es-AR"/>
        </w:rPr>
        <w:lastRenderedPageBreak/>
        <w:t>Panora</w:t>
      </w:r>
      <w:r w:rsidR="00C12B7D" w:rsidRPr="00C12B7D">
        <w:rPr>
          <w:lang w:val="es-AR"/>
        </w:rPr>
        <w:t>ma</w:t>
      </w:r>
      <w:r w:rsidRPr="00C12B7D">
        <w:rPr>
          <w:lang w:val="es-AR"/>
        </w:rPr>
        <w:t xml:space="preserve"> global</w:t>
      </w:r>
      <w:r w:rsidR="00265DE2" w:rsidRPr="00C12B7D">
        <w:rPr>
          <w:lang w:val="es-AR"/>
        </w:rPr>
        <w:t>:</w:t>
      </w:r>
      <w:r w:rsidRPr="00C12B7D">
        <w:rPr>
          <w:lang w:val="es-AR"/>
        </w:rPr>
        <w:t xml:space="preserve"> </w:t>
      </w:r>
      <w:r w:rsidR="00992617">
        <w:rPr>
          <w:lang w:val="es-AR"/>
        </w:rPr>
        <w:t>p</w:t>
      </w:r>
      <w:r w:rsidRPr="00C12B7D">
        <w:rPr>
          <w:lang w:val="es-AR"/>
        </w:rPr>
        <w:t xml:space="preserve">royecciones para </w:t>
      </w:r>
      <w:r w:rsidR="00265DE2" w:rsidRPr="00C12B7D">
        <w:rPr>
          <w:lang w:val="es-AR"/>
        </w:rPr>
        <w:t xml:space="preserve">2018 </w:t>
      </w:r>
    </w:p>
    <w:p w14:paraId="62F2788E" w14:textId="3BE43D5F" w:rsidR="003F6ACD" w:rsidRPr="00546B1E" w:rsidRDefault="00C12B7D" w:rsidP="00805E69">
      <w:pPr>
        <w:spacing w:after="0" w:line="240" w:lineRule="auto"/>
        <w:jc w:val="both"/>
        <w:rPr>
          <w:szCs w:val="24"/>
          <w:lang w:val="es-AR"/>
        </w:rPr>
      </w:pPr>
      <w:r>
        <w:rPr>
          <w:szCs w:val="24"/>
          <w:lang w:val="es-AR"/>
        </w:rPr>
        <w:t>Segú</w:t>
      </w:r>
      <w:r w:rsidR="00546B1E" w:rsidRPr="00546B1E">
        <w:rPr>
          <w:szCs w:val="24"/>
          <w:lang w:val="es-AR"/>
        </w:rPr>
        <w:t>n el FMI</w:t>
      </w:r>
      <w:r w:rsidR="002479CA" w:rsidRPr="00546B1E">
        <w:rPr>
          <w:szCs w:val="24"/>
          <w:lang w:val="es-AR"/>
        </w:rPr>
        <w:t xml:space="preserve"> (</w:t>
      </w:r>
      <w:r w:rsidR="00546B1E" w:rsidRPr="00546B1E">
        <w:rPr>
          <w:szCs w:val="24"/>
          <w:lang w:val="es-AR"/>
        </w:rPr>
        <w:t>edición WEO de octubre 2017</w:t>
      </w:r>
      <w:r w:rsidR="002479CA" w:rsidRPr="00546B1E">
        <w:rPr>
          <w:szCs w:val="24"/>
          <w:lang w:val="es-AR"/>
        </w:rPr>
        <w:t xml:space="preserve">) </w:t>
      </w:r>
      <w:r w:rsidR="00546B1E" w:rsidRPr="00546B1E">
        <w:rPr>
          <w:szCs w:val="24"/>
          <w:lang w:val="es-AR"/>
        </w:rPr>
        <w:t xml:space="preserve">se prevé que la economía tenga un crecimiento similar en </w:t>
      </w:r>
      <w:r w:rsidR="002479CA" w:rsidRPr="00546B1E">
        <w:rPr>
          <w:szCs w:val="24"/>
          <w:lang w:val="es-AR"/>
        </w:rPr>
        <w:t xml:space="preserve">2018 </w:t>
      </w:r>
      <w:r w:rsidR="00992617">
        <w:rPr>
          <w:szCs w:val="24"/>
          <w:lang w:val="es-AR"/>
        </w:rPr>
        <w:t xml:space="preserve">en relación al </w:t>
      </w:r>
      <w:r w:rsidR="00546B1E" w:rsidRPr="00546B1E">
        <w:rPr>
          <w:szCs w:val="24"/>
          <w:lang w:val="es-AR"/>
        </w:rPr>
        <w:t xml:space="preserve">visto en </w:t>
      </w:r>
      <w:r w:rsidR="002479CA" w:rsidRPr="00546B1E">
        <w:rPr>
          <w:szCs w:val="24"/>
          <w:lang w:val="es-AR"/>
        </w:rPr>
        <w:t>2017: +3</w:t>
      </w:r>
      <w:r w:rsidR="00546B1E">
        <w:rPr>
          <w:szCs w:val="24"/>
          <w:lang w:val="es-AR"/>
        </w:rPr>
        <w:t>,</w:t>
      </w:r>
      <w:r w:rsidR="002479CA" w:rsidRPr="00546B1E">
        <w:rPr>
          <w:szCs w:val="24"/>
          <w:lang w:val="es-AR"/>
        </w:rPr>
        <w:t xml:space="preserve">7% </w:t>
      </w:r>
      <w:r w:rsidR="00546B1E">
        <w:rPr>
          <w:szCs w:val="24"/>
          <w:lang w:val="es-AR"/>
        </w:rPr>
        <w:t>e</w:t>
      </w:r>
      <w:r w:rsidR="002479CA" w:rsidRPr="00546B1E">
        <w:rPr>
          <w:szCs w:val="24"/>
          <w:lang w:val="es-AR"/>
        </w:rPr>
        <w:t xml:space="preserve">n 2018 </w:t>
      </w:r>
      <w:r w:rsidR="00546B1E">
        <w:rPr>
          <w:szCs w:val="24"/>
          <w:lang w:val="es-AR"/>
        </w:rPr>
        <w:t xml:space="preserve">comparado con </w:t>
      </w:r>
      <w:r w:rsidR="00AA7B81" w:rsidRPr="00546B1E">
        <w:rPr>
          <w:szCs w:val="24"/>
          <w:lang w:val="es-AR"/>
        </w:rPr>
        <w:t>+</w:t>
      </w:r>
      <w:r w:rsidR="002479CA" w:rsidRPr="00546B1E">
        <w:rPr>
          <w:szCs w:val="24"/>
          <w:lang w:val="es-AR"/>
        </w:rPr>
        <w:t>3</w:t>
      </w:r>
      <w:r w:rsidR="00992617">
        <w:rPr>
          <w:szCs w:val="24"/>
          <w:lang w:val="es-AR"/>
        </w:rPr>
        <w:t>,</w:t>
      </w:r>
      <w:r w:rsidR="002479CA" w:rsidRPr="00546B1E">
        <w:rPr>
          <w:szCs w:val="24"/>
          <w:lang w:val="es-AR"/>
        </w:rPr>
        <w:t xml:space="preserve">6% </w:t>
      </w:r>
      <w:r w:rsidR="00546B1E">
        <w:rPr>
          <w:szCs w:val="24"/>
          <w:lang w:val="es-AR"/>
        </w:rPr>
        <w:t>e</w:t>
      </w:r>
      <w:r w:rsidR="002479CA" w:rsidRPr="00546B1E">
        <w:rPr>
          <w:szCs w:val="24"/>
          <w:lang w:val="es-AR"/>
        </w:rPr>
        <w:t xml:space="preserve">n 2017 </w:t>
      </w:r>
      <w:r w:rsidR="00546B1E">
        <w:rPr>
          <w:szCs w:val="24"/>
          <w:lang w:val="es-AR"/>
        </w:rPr>
        <w:t>y</w:t>
      </w:r>
      <w:r w:rsidR="002479CA" w:rsidRPr="00546B1E">
        <w:rPr>
          <w:szCs w:val="24"/>
          <w:lang w:val="es-AR"/>
        </w:rPr>
        <w:t xml:space="preserve"> </w:t>
      </w:r>
      <w:r w:rsidR="00AA7B81" w:rsidRPr="00546B1E">
        <w:rPr>
          <w:szCs w:val="24"/>
          <w:lang w:val="es-AR"/>
        </w:rPr>
        <w:t>+</w:t>
      </w:r>
      <w:r w:rsidR="002479CA" w:rsidRPr="00546B1E">
        <w:rPr>
          <w:szCs w:val="24"/>
          <w:lang w:val="es-AR"/>
        </w:rPr>
        <w:t>3</w:t>
      </w:r>
      <w:r w:rsidR="00992617">
        <w:rPr>
          <w:szCs w:val="24"/>
          <w:lang w:val="es-AR"/>
        </w:rPr>
        <w:t>,</w:t>
      </w:r>
      <w:r w:rsidR="002479CA" w:rsidRPr="00546B1E">
        <w:rPr>
          <w:szCs w:val="24"/>
          <w:lang w:val="es-AR"/>
        </w:rPr>
        <w:t xml:space="preserve">2% </w:t>
      </w:r>
      <w:r w:rsidR="00546B1E">
        <w:rPr>
          <w:szCs w:val="24"/>
          <w:lang w:val="es-AR"/>
        </w:rPr>
        <w:t>e</w:t>
      </w:r>
      <w:r w:rsidR="002479CA" w:rsidRPr="00546B1E">
        <w:rPr>
          <w:szCs w:val="24"/>
          <w:lang w:val="es-AR"/>
        </w:rPr>
        <w:t xml:space="preserve">n 2016. </w:t>
      </w:r>
    </w:p>
    <w:p w14:paraId="108CB8D5" w14:textId="77777777" w:rsidR="007074A8" w:rsidRPr="00546B1E" w:rsidRDefault="007074A8" w:rsidP="00805E69">
      <w:pPr>
        <w:spacing w:after="0" w:line="240" w:lineRule="auto"/>
        <w:jc w:val="both"/>
        <w:rPr>
          <w:szCs w:val="24"/>
          <w:lang w:val="es-AR"/>
        </w:rPr>
      </w:pPr>
    </w:p>
    <w:p w14:paraId="3FE4C65B" w14:textId="38A730F8" w:rsidR="003F6ACD" w:rsidRPr="00732379" w:rsidRDefault="00732379" w:rsidP="00805E69">
      <w:pPr>
        <w:spacing w:after="0" w:line="240" w:lineRule="auto"/>
        <w:jc w:val="both"/>
        <w:rPr>
          <w:szCs w:val="24"/>
          <w:lang w:val="es-AR"/>
        </w:rPr>
      </w:pPr>
      <w:r>
        <w:rPr>
          <w:szCs w:val="24"/>
          <w:lang w:val="es-AR"/>
        </w:rPr>
        <w:t>U</w:t>
      </w:r>
      <w:r w:rsidR="00546B1E" w:rsidRPr="00546B1E">
        <w:rPr>
          <w:szCs w:val="24"/>
          <w:lang w:val="es-AR"/>
        </w:rPr>
        <w:t>n factor negativ</w:t>
      </w:r>
      <w:r>
        <w:rPr>
          <w:szCs w:val="24"/>
          <w:lang w:val="es-AR"/>
        </w:rPr>
        <w:t>o</w:t>
      </w:r>
      <w:r w:rsidR="00546B1E" w:rsidRPr="00546B1E">
        <w:rPr>
          <w:szCs w:val="24"/>
          <w:lang w:val="es-AR"/>
        </w:rPr>
        <w:t xml:space="preserve"> a tener en cu</w:t>
      </w:r>
      <w:r>
        <w:rPr>
          <w:szCs w:val="24"/>
          <w:lang w:val="es-AR"/>
        </w:rPr>
        <w:t>en</w:t>
      </w:r>
      <w:r w:rsidR="00546B1E" w:rsidRPr="00546B1E">
        <w:rPr>
          <w:szCs w:val="24"/>
          <w:lang w:val="es-AR"/>
        </w:rPr>
        <w:t xml:space="preserve">ta es que </w:t>
      </w:r>
      <w:r w:rsidR="00546B1E" w:rsidRPr="00732379">
        <w:rPr>
          <w:b/>
          <w:szCs w:val="24"/>
          <w:lang w:val="es-AR"/>
        </w:rPr>
        <w:t>los sectores econ</w:t>
      </w:r>
      <w:r>
        <w:rPr>
          <w:b/>
          <w:szCs w:val="24"/>
          <w:lang w:val="es-AR"/>
        </w:rPr>
        <w:t>ó</w:t>
      </w:r>
      <w:r w:rsidR="00546B1E" w:rsidRPr="00732379">
        <w:rPr>
          <w:b/>
          <w:szCs w:val="24"/>
          <w:lang w:val="es-AR"/>
        </w:rPr>
        <w:t>micos representad</w:t>
      </w:r>
      <w:r>
        <w:rPr>
          <w:b/>
          <w:szCs w:val="24"/>
          <w:lang w:val="es-AR"/>
        </w:rPr>
        <w:t>o</w:t>
      </w:r>
      <w:r w:rsidR="00546B1E" w:rsidRPr="00732379">
        <w:rPr>
          <w:b/>
          <w:szCs w:val="24"/>
          <w:lang w:val="es-AR"/>
        </w:rPr>
        <w:t>s desproporcionadamente en la inversi</w:t>
      </w:r>
      <w:r>
        <w:rPr>
          <w:b/>
          <w:szCs w:val="24"/>
          <w:lang w:val="es-AR"/>
        </w:rPr>
        <w:t>ó</w:t>
      </w:r>
      <w:r w:rsidR="00546B1E" w:rsidRPr="00732379">
        <w:rPr>
          <w:b/>
          <w:szCs w:val="24"/>
          <w:lang w:val="es-AR"/>
        </w:rPr>
        <w:t xml:space="preserve">n publicitaria </w:t>
      </w:r>
      <w:r w:rsidR="00546B1E" w:rsidRPr="00546B1E">
        <w:rPr>
          <w:szCs w:val="24"/>
          <w:lang w:val="es-AR"/>
        </w:rPr>
        <w:t>(es decir los sectores que invierten un alto porce</w:t>
      </w:r>
      <w:r>
        <w:rPr>
          <w:szCs w:val="24"/>
          <w:lang w:val="es-AR"/>
        </w:rPr>
        <w:t>nt</w:t>
      </w:r>
      <w:r w:rsidR="00546B1E" w:rsidRPr="00546B1E">
        <w:rPr>
          <w:szCs w:val="24"/>
          <w:lang w:val="es-AR"/>
        </w:rPr>
        <w:t>aje de los ingresos en pub</w:t>
      </w:r>
      <w:r>
        <w:rPr>
          <w:szCs w:val="24"/>
          <w:lang w:val="es-AR"/>
        </w:rPr>
        <w:t>l</w:t>
      </w:r>
      <w:r w:rsidR="00546B1E" w:rsidRPr="00546B1E">
        <w:rPr>
          <w:szCs w:val="24"/>
          <w:lang w:val="es-AR"/>
        </w:rPr>
        <w:t xml:space="preserve">icidad) como productos para el consumidor y automotriz </w:t>
      </w:r>
      <w:r w:rsidR="00546B1E" w:rsidRPr="00732379">
        <w:rPr>
          <w:b/>
          <w:szCs w:val="24"/>
          <w:lang w:val="es-AR"/>
        </w:rPr>
        <w:t>se encuentran rezagados respecto del resto de la economía</w:t>
      </w:r>
      <w:r w:rsidR="00546B1E">
        <w:rPr>
          <w:szCs w:val="24"/>
          <w:lang w:val="es-AR"/>
        </w:rPr>
        <w:t xml:space="preserve">, lo cual resulta en </w:t>
      </w:r>
      <w:r w:rsidR="00992617">
        <w:rPr>
          <w:szCs w:val="24"/>
          <w:lang w:val="es-AR"/>
        </w:rPr>
        <w:t xml:space="preserve">una </w:t>
      </w:r>
      <w:r w:rsidR="00546B1E">
        <w:rPr>
          <w:szCs w:val="24"/>
          <w:lang w:val="es-AR"/>
        </w:rPr>
        <w:t>disminución de las ganancias y por lo</w:t>
      </w:r>
      <w:r>
        <w:rPr>
          <w:szCs w:val="24"/>
          <w:lang w:val="es-AR"/>
        </w:rPr>
        <w:t xml:space="preserve"> </w:t>
      </w:r>
      <w:r w:rsidR="00546B1E">
        <w:rPr>
          <w:szCs w:val="24"/>
          <w:lang w:val="es-AR"/>
        </w:rPr>
        <w:t xml:space="preserve">general recortes en la inversión publicitaria. </w:t>
      </w:r>
      <w:r w:rsidR="00546B1E" w:rsidRPr="00546B1E">
        <w:rPr>
          <w:szCs w:val="24"/>
          <w:lang w:val="es-AR"/>
        </w:rPr>
        <w:t>Esto está sucediendo espec</w:t>
      </w:r>
      <w:r>
        <w:rPr>
          <w:szCs w:val="24"/>
          <w:lang w:val="es-AR"/>
        </w:rPr>
        <w:t>í</w:t>
      </w:r>
      <w:r w:rsidR="00546B1E" w:rsidRPr="00546B1E">
        <w:rPr>
          <w:szCs w:val="24"/>
          <w:lang w:val="es-AR"/>
        </w:rPr>
        <w:t>ficamente con los sectores automotrices en dos de los mayores mercados auto</w:t>
      </w:r>
      <w:r>
        <w:rPr>
          <w:szCs w:val="24"/>
          <w:lang w:val="es-AR"/>
        </w:rPr>
        <w:t>m</w:t>
      </w:r>
      <w:r w:rsidR="00992617">
        <w:rPr>
          <w:szCs w:val="24"/>
          <w:lang w:val="es-AR"/>
        </w:rPr>
        <w:t>otores del mundo: China y EEUU, d</w:t>
      </w:r>
      <w:r w:rsidRPr="00732379">
        <w:rPr>
          <w:szCs w:val="24"/>
          <w:lang w:val="es-AR"/>
        </w:rPr>
        <w:t>onde las ventas de automóviles se han estancado y comienzan a disminuir,</w:t>
      </w:r>
      <w:r>
        <w:rPr>
          <w:szCs w:val="24"/>
          <w:lang w:val="es-AR"/>
        </w:rPr>
        <w:t xml:space="preserve"> </w:t>
      </w:r>
      <w:r w:rsidRPr="00732379">
        <w:rPr>
          <w:szCs w:val="24"/>
          <w:lang w:val="es-AR"/>
        </w:rPr>
        <w:t xml:space="preserve">y a la vez los fabricantes y </w:t>
      </w:r>
      <w:r w:rsidR="00992617">
        <w:rPr>
          <w:szCs w:val="24"/>
          <w:lang w:val="es-AR"/>
        </w:rPr>
        <w:t xml:space="preserve">concesionarios </w:t>
      </w:r>
      <w:r w:rsidRPr="00732379">
        <w:rPr>
          <w:szCs w:val="24"/>
          <w:lang w:val="es-AR"/>
        </w:rPr>
        <w:t xml:space="preserve">están recortando la </w:t>
      </w:r>
      <w:r>
        <w:rPr>
          <w:szCs w:val="24"/>
          <w:lang w:val="es-AR"/>
        </w:rPr>
        <w:t>inversió</w:t>
      </w:r>
      <w:r w:rsidRPr="00732379">
        <w:rPr>
          <w:szCs w:val="24"/>
          <w:lang w:val="es-AR"/>
        </w:rPr>
        <w:t xml:space="preserve">n publicitaria para concentrarse en los descuentos.   </w:t>
      </w:r>
      <w:r w:rsidR="00546B1E" w:rsidRPr="00732379">
        <w:rPr>
          <w:szCs w:val="24"/>
          <w:lang w:val="es-AR"/>
        </w:rPr>
        <w:t xml:space="preserve">  </w:t>
      </w:r>
    </w:p>
    <w:p w14:paraId="019B87DE" w14:textId="77777777" w:rsidR="007074A8" w:rsidRPr="00732379" w:rsidRDefault="007074A8" w:rsidP="00805E69">
      <w:pPr>
        <w:spacing w:after="0" w:line="240" w:lineRule="auto"/>
        <w:jc w:val="both"/>
        <w:rPr>
          <w:szCs w:val="24"/>
          <w:lang w:val="es-AR"/>
        </w:rPr>
      </w:pPr>
    </w:p>
    <w:p w14:paraId="78747B99" w14:textId="0685615D" w:rsidR="00732379" w:rsidRPr="00732379" w:rsidRDefault="00732379" w:rsidP="00805E69">
      <w:pPr>
        <w:spacing w:after="0" w:line="240" w:lineRule="auto"/>
        <w:jc w:val="both"/>
        <w:rPr>
          <w:szCs w:val="24"/>
          <w:lang w:val="es-AR"/>
        </w:rPr>
      </w:pPr>
      <w:r w:rsidRPr="00732379">
        <w:rPr>
          <w:szCs w:val="24"/>
          <w:lang w:val="es-AR"/>
        </w:rPr>
        <w:t>Otro impulsor del marketing y la inversi</w:t>
      </w:r>
      <w:r>
        <w:rPr>
          <w:szCs w:val="24"/>
          <w:lang w:val="es-AR"/>
        </w:rPr>
        <w:t xml:space="preserve">ón publicitaria serán los </w:t>
      </w:r>
      <w:r w:rsidRPr="00BF2CD3">
        <w:rPr>
          <w:b/>
          <w:szCs w:val="24"/>
          <w:lang w:val="es-AR"/>
        </w:rPr>
        <w:t>importantes eventos cíclicos que sucederán en 2018</w:t>
      </w:r>
      <w:r>
        <w:rPr>
          <w:szCs w:val="24"/>
          <w:lang w:val="es-AR"/>
        </w:rPr>
        <w:t xml:space="preserve">. La Copa del Mundo de la FIFA en Rusia, las elecciones intermedias en los EEUU y los Juegos Olímpicos de invierno en Corea del sur. MAGNA cree que la Copa del Mundo de la FIFA no generará mayor inversión publicitaria incremental que hace cuatro años en Brasil, en parte debido a que algunos de los equipos de fútbol más importantes no hayan clasificado (Italia, Chile, </w:t>
      </w:r>
      <w:r w:rsidR="00992617">
        <w:rPr>
          <w:szCs w:val="24"/>
          <w:lang w:val="es-AR"/>
        </w:rPr>
        <w:t xml:space="preserve">los </w:t>
      </w:r>
      <w:r w:rsidR="00B36E34">
        <w:rPr>
          <w:szCs w:val="24"/>
          <w:lang w:val="es-AR"/>
        </w:rPr>
        <w:t>Países</w:t>
      </w:r>
      <w:r>
        <w:rPr>
          <w:szCs w:val="24"/>
          <w:lang w:val="es-AR"/>
        </w:rPr>
        <w:t xml:space="preserve"> Bajos y EEUU) mientras que los Juegos Olímpicos podrían verse </w:t>
      </w:r>
      <w:r w:rsidR="00BF2CD3">
        <w:rPr>
          <w:szCs w:val="24"/>
          <w:lang w:val="es-AR"/>
        </w:rPr>
        <w:t xml:space="preserve">afectados por la diferencia horaria y la tensión política en la península coreana, así como también la ausencia de jugadores </w:t>
      </w:r>
      <w:r w:rsidR="00992617">
        <w:rPr>
          <w:szCs w:val="24"/>
          <w:lang w:val="es-AR"/>
        </w:rPr>
        <w:t xml:space="preserve">de la </w:t>
      </w:r>
      <w:r w:rsidR="00BF2CD3">
        <w:rPr>
          <w:szCs w:val="24"/>
          <w:lang w:val="es-AR"/>
        </w:rPr>
        <w:t>NHL (americanos, canadienses, rusos…) y el campeonato de hockey sobre hielo. Las elecciones intermedias en los EEUU, por otra parte, podrían obtener un incremento en la inversión publicitaria de +20% comparado con el ciclo 2014 como consecuencia del intenso clima político. En su conjunto</w:t>
      </w:r>
      <w:r w:rsidR="00992617">
        <w:rPr>
          <w:szCs w:val="24"/>
          <w:lang w:val="es-AR"/>
        </w:rPr>
        <w:t>,</w:t>
      </w:r>
      <w:r w:rsidR="00BF2CD3">
        <w:rPr>
          <w:szCs w:val="24"/>
          <w:lang w:val="es-AR"/>
        </w:rPr>
        <w:t xml:space="preserve"> estos eventos cíclicos aún generarán casi </w:t>
      </w:r>
      <w:r w:rsidR="00BF2CD3" w:rsidRPr="00BF2CD3">
        <w:rPr>
          <w:b/>
          <w:szCs w:val="24"/>
          <w:lang w:val="es-AR"/>
        </w:rPr>
        <w:t>cinco mil millones de dólares</w:t>
      </w:r>
      <w:r w:rsidR="00BF2CD3">
        <w:rPr>
          <w:szCs w:val="24"/>
          <w:lang w:val="es-AR"/>
        </w:rPr>
        <w:t xml:space="preserve"> en inversión publicitaria incremental, y consecuentemente deberían </w:t>
      </w:r>
      <w:r w:rsidR="00BF2CD3" w:rsidRPr="00793A7D">
        <w:rPr>
          <w:b/>
          <w:szCs w:val="24"/>
          <w:lang w:val="es-AR"/>
        </w:rPr>
        <w:t>contribuir aproximadamente en un punto</w:t>
      </w:r>
      <w:r w:rsidR="00BF2CD3">
        <w:rPr>
          <w:szCs w:val="24"/>
          <w:lang w:val="es-AR"/>
        </w:rPr>
        <w:t xml:space="preserve"> al crecimiento publicitario global.  </w:t>
      </w:r>
    </w:p>
    <w:p w14:paraId="678E4CC8" w14:textId="77777777" w:rsidR="00546B1E" w:rsidRPr="00732379" w:rsidRDefault="00546B1E" w:rsidP="00805E69">
      <w:pPr>
        <w:spacing w:after="0" w:line="240" w:lineRule="auto"/>
        <w:jc w:val="both"/>
        <w:rPr>
          <w:szCs w:val="24"/>
          <w:lang w:val="es-AR"/>
        </w:rPr>
      </w:pPr>
    </w:p>
    <w:p w14:paraId="46B80F60" w14:textId="77777777" w:rsidR="007074A8" w:rsidRPr="00732379" w:rsidRDefault="007074A8" w:rsidP="00805E69">
      <w:pPr>
        <w:spacing w:after="0" w:line="240" w:lineRule="auto"/>
        <w:jc w:val="both"/>
        <w:rPr>
          <w:szCs w:val="24"/>
          <w:lang w:val="es-AR"/>
        </w:rPr>
      </w:pPr>
    </w:p>
    <w:p w14:paraId="786B15DF" w14:textId="72AC15FD" w:rsidR="002479CA" w:rsidRPr="00793A7D" w:rsidRDefault="00793A7D" w:rsidP="00805E69">
      <w:pPr>
        <w:spacing w:after="0" w:line="240" w:lineRule="auto"/>
        <w:jc w:val="both"/>
        <w:rPr>
          <w:b/>
          <w:szCs w:val="24"/>
          <w:lang w:val="es-AR"/>
        </w:rPr>
      </w:pPr>
      <w:r w:rsidRPr="00793A7D">
        <w:rPr>
          <w:szCs w:val="24"/>
          <w:lang w:val="es-AR"/>
        </w:rPr>
        <w:t>Dejando de lado lo</w:t>
      </w:r>
      <w:r w:rsidR="00992617">
        <w:rPr>
          <w:szCs w:val="24"/>
          <w:lang w:val="es-AR"/>
        </w:rPr>
        <w:t>s</w:t>
      </w:r>
      <w:r w:rsidRPr="00793A7D">
        <w:rPr>
          <w:szCs w:val="24"/>
          <w:lang w:val="es-AR"/>
        </w:rPr>
        <w:t xml:space="preserve"> efectos c</w:t>
      </w:r>
      <w:r>
        <w:rPr>
          <w:szCs w:val="24"/>
          <w:lang w:val="es-AR"/>
        </w:rPr>
        <w:t>í</w:t>
      </w:r>
      <w:r w:rsidRPr="00793A7D">
        <w:rPr>
          <w:szCs w:val="24"/>
          <w:lang w:val="es-AR"/>
        </w:rPr>
        <w:t xml:space="preserve">clicos, el crecimiento publicitario subyacente sería de </w:t>
      </w:r>
      <w:r w:rsidR="002479CA" w:rsidRPr="00793A7D">
        <w:rPr>
          <w:szCs w:val="24"/>
          <w:lang w:val="es-AR"/>
        </w:rPr>
        <w:t>+4</w:t>
      </w:r>
      <w:r w:rsidR="00992617">
        <w:rPr>
          <w:szCs w:val="24"/>
          <w:lang w:val="es-AR"/>
        </w:rPr>
        <w:t>,</w:t>
      </w:r>
      <w:r w:rsidR="002479CA" w:rsidRPr="00793A7D">
        <w:rPr>
          <w:szCs w:val="24"/>
          <w:lang w:val="es-AR"/>
        </w:rPr>
        <w:t xml:space="preserve">1% </w:t>
      </w:r>
      <w:r>
        <w:rPr>
          <w:szCs w:val="24"/>
          <w:lang w:val="es-AR"/>
        </w:rPr>
        <w:t>e</w:t>
      </w:r>
      <w:r w:rsidR="002479CA" w:rsidRPr="00793A7D">
        <w:rPr>
          <w:szCs w:val="24"/>
          <w:lang w:val="es-AR"/>
        </w:rPr>
        <w:t>n 2018 compar</w:t>
      </w:r>
      <w:r>
        <w:rPr>
          <w:szCs w:val="24"/>
          <w:lang w:val="es-AR"/>
        </w:rPr>
        <w:t xml:space="preserve">ado con el </w:t>
      </w:r>
      <w:r w:rsidR="002479CA" w:rsidRPr="00793A7D">
        <w:rPr>
          <w:szCs w:val="24"/>
          <w:lang w:val="es-AR"/>
        </w:rPr>
        <w:t>+5</w:t>
      </w:r>
      <w:r w:rsidR="00992617">
        <w:rPr>
          <w:szCs w:val="24"/>
          <w:lang w:val="es-AR"/>
        </w:rPr>
        <w:t>,</w:t>
      </w:r>
      <w:r w:rsidR="002479CA" w:rsidRPr="00793A7D">
        <w:rPr>
          <w:szCs w:val="24"/>
          <w:lang w:val="es-AR"/>
        </w:rPr>
        <w:t xml:space="preserve">1% </w:t>
      </w:r>
      <w:r>
        <w:rPr>
          <w:szCs w:val="24"/>
          <w:lang w:val="es-AR"/>
        </w:rPr>
        <w:t>e</w:t>
      </w:r>
      <w:r w:rsidR="002479CA" w:rsidRPr="00793A7D">
        <w:rPr>
          <w:szCs w:val="24"/>
          <w:lang w:val="es-AR"/>
        </w:rPr>
        <w:t xml:space="preserve">n 2017 </w:t>
      </w:r>
      <w:r>
        <w:rPr>
          <w:szCs w:val="24"/>
          <w:lang w:val="es-AR"/>
        </w:rPr>
        <w:t>y</w:t>
      </w:r>
      <w:r w:rsidR="002479CA" w:rsidRPr="00793A7D">
        <w:rPr>
          <w:szCs w:val="24"/>
          <w:lang w:val="es-AR"/>
        </w:rPr>
        <w:t xml:space="preserve"> +4</w:t>
      </w:r>
      <w:r w:rsidR="00992617">
        <w:rPr>
          <w:szCs w:val="24"/>
          <w:lang w:val="es-AR"/>
        </w:rPr>
        <w:t>,</w:t>
      </w:r>
      <w:r w:rsidR="002479CA" w:rsidRPr="00793A7D">
        <w:rPr>
          <w:szCs w:val="24"/>
          <w:lang w:val="es-AR"/>
        </w:rPr>
        <w:t xml:space="preserve">9% </w:t>
      </w:r>
      <w:r>
        <w:rPr>
          <w:szCs w:val="24"/>
          <w:lang w:val="es-AR"/>
        </w:rPr>
        <w:t>e</w:t>
      </w:r>
      <w:r w:rsidR="002479CA" w:rsidRPr="00793A7D">
        <w:rPr>
          <w:szCs w:val="24"/>
          <w:lang w:val="es-AR"/>
        </w:rPr>
        <w:t xml:space="preserve">n 2016. </w:t>
      </w:r>
      <w:r w:rsidR="002C26E1" w:rsidRPr="00793A7D">
        <w:rPr>
          <w:i/>
          <w:szCs w:val="24"/>
          <w:lang w:val="es-AR"/>
        </w:rPr>
        <w:t>Inclu</w:t>
      </w:r>
      <w:r w:rsidRPr="00793A7D">
        <w:rPr>
          <w:i/>
          <w:szCs w:val="24"/>
          <w:lang w:val="es-AR"/>
        </w:rPr>
        <w:t xml:space="preserve">yendo </w:t>
      </w:r>
      <w:r w:rsidRPr="00793A7D">
        <w:rPr>
          <w:szCs w:val="24"/>
          <w:lang w:val="es-AR"/>
        </w:rPr>
        <w:t>los ingresos cíclicos</w:t>
      </w:r>
      <w:r w:rsidR="002C26E1" w:rsidRPr="00793A7D">
        <w:rPr>
          <w:szCs w:val="24"/>
          <w:lang w:val="es-AR"/>
        </w:rPr>
        <w:t xml:space="preserve">, </w:t>
      </w:r>
      <w:r w:rsidRPr="00793A7D">
        <w:rPr>
          <w:b/>
          <w:szCs w:val="24"/>
          <w:lang w:val="es-AR"/>
        </w:rPr>
        <w:t xml:space="preserve">las ventas publicitarias globales crecerán </w:t>
      </w:r>
      <w:r w:rsidR="002C26E1" w:rsidRPr="00793A7D">
        <w:rPr>
          <w:b/>
          <w:szCs w:val="24"/>
          <w:lang w:val="es-AR"/>
        </w:rPr>
        <w:t>+5</w:t>
      </w:r>
      <w:r w:rsidR="00992617">
        <w:rPr>
          <w:b/>
          <w:szCs w:val="24"/>
          <w:lang w:val="es-AR"/>
        </w:rPr>
        <w:t>,</w:t>
      </w:r>
      <w:r w:rsidR="002C26E1" w:rsidRPr="00793A7D">
        <w:rPr>
          <w:b/>
          <w:szCs w:val="24"/>
          <w:lang w:val="es-AR"/>
        </w:rPr>
        <w:t xml:space="preserve">2% </w:t>
      </w:r>
      <w:r>
        <w:rPr>
          <w:b/>
          <w:szCs w:val="24"/>
          <w:lang w:val="es-AR"/>
        </w:rPr>
        <w:t>e</w:t>
      </w:r>
      <w:r w:rsidR="002C26E1" w:rsidRPr="00793A7D">
        <w:rPr>
          <w:b/>
          <w:szCs w:val="24"/>
          <w:lang w:val="es-AR"/>
        </w:rPr>
        <w:t xml:space="preserve">n 2018, </w:t>
      </w:r>
      <w:r>
        <w:rPr>
          <w:b/>
          <w:szCs w:val="24"/>
          <w:lang w:val="es-AR"/>
        </w:rPr>
        <w:t xml:space="preserve">alcanzando los </w:t>
      </w:r>
      <w:r w:rsidR="002C26E1" w:rsidRPr="00793A7D">
        <w:rPr>
          <w:b/>
          <w:szCs w:val="24"/>
          <w:lang w:val="es-AR"/>
        </w:rPr>
        <w:t>53</w:t>
      </w:r>
      <w:r w:rsidR="00AA7B81" w:rsidRPr="00793A7D">
        <w:rPr>
          <w:b/>
          <w:szCs w:val="24"/>
          <w:lang w:val="es-AR"/>
        </w:rPr>
        <w:t>5</w:t>
      </w:r>
      <w:r>
        <w:rPr>
          <w:b/>
          <w:szCs w:val="24"/>
          <w:lang w:val="es-AR"/>
        </w:rPr>
        <w:t xml:space="preserve"> mil millones de dólares</w:t>
      </w:r>
      <w:r w:rsidR="002C26E1" w:rsidRPr="00793A7D">
        <w:rPr>
          <w:b/>
          <w:szCs w:val="24"/>
          <w:lang w:val="es-AR"/>
        </w:rPr>
        <w:t>.</w:t>
      </w:r>
    </w:p>
    <w:p w14:paraId="1E32AF28" w14:textId="77777777" w:rsidR="007074A8" w:rsidRPr="00793A7D" w:rsidRDefault="007074A8" w:rsidP="00805E69">
      <w:pPr>
        <w:spacing w:after="0" w:line="240" w:lineRule="auto"/>
        <w:jc w:val="both"/>
        <w:rPr>
          <w:szCs w:val="24"/>
          <w:lang w:val="es-AR"/>
        </w:rPr>
      </w:pPr>
    </w:p>
    <w:p w14:paraId="3943CF3A" w14:textId="463180DD" w:rsidR="002C26E1" w:rsidRPr="00793A7D" w:rsidRDefault="00793A7D" w:rsidP="00805E69">
      <w:pPr>
        <w:spacing w:after="0" w:line="240" w:lineRule="auto"/>
        <w:jc w:val="both"/>
        <w:rPr>
          <w:szCs w:val="24"/>
          <w:lang w:val="es-AR"/>
        </w:rPr>
      </w:pPr>
      <w:r w:rsidRPr="00793A7D">
        <w:rPr>
          <w:szCs w:val="24"/>
          <w:lang w:val="es-AR"/>
        </w:rPr>
        <w:t>Los ingresos publicitarios en América del Norte se incrementar</w:t>
      </w:r>
      <w:r w:rsidR="00992617">
        <w:rPr>
          <w:szCs w:val="24"/>
          <w:lang w:val="es-AR"/>
        </w:rPr>
        <w:t>á</w:t>
      </w:r>
      <w:r w:rsidRPr="00793A7D">
        <w:rPr>
          <w:szCs w:val="24"/>
          <w:lang w:val="es-AR"/>
        </w:rPr>
        <w:t xml:space="preserve">n en </w:t>
      </w:r>
      <w:r w:rsidR="00AA7B81" w:rsidRPr="00793A7D">
        <w:rPr>
          <w:szCs w:val="24"/>
          <w:lang w:val="es-AR"/>
        </w:rPr>
        <w:t>+</w:t>
      </w:r>
      <w:r w:rsidR="002C26E1" w:rsidRPr="00793A7D">
        <w:rPr>
          <w:szCs w:val="24"/>
          <w:lang w:val="es-AR"/>
        </w:rPr>
        <w:t>5%</w:t>
      </w:r>
      <w:r w:rsidR="00EF541D" w:rsidRPr="00793A7D">
        <w:rPr>
          <w:szCs w:val="24"/>
          <w:lang w:val="es-AR"/>
        </w:rPr>
        <w:t xml:space="preserve"> </w:t>
      </w:r>
      <w:r w:rsidRPr="00793A7D">
        <w:rPr>
          <w:szCs w:val="24"/>
          <w:lang w:val="es-AR"/>
        </w:rPr>
        <w:t>e</w:t>
      </w:r>
      <w:r w:rsidR="00EF541D" w:rsidRPr="00793A7D">
        <w:rPr>
          <w:szCs w:val="24"/>
          <w:lang w:val="es-AR"/>
        </w:rPr>
        <w:t>n 2018</w:t>
      </w:r>
      <w:r w:rsidR="002C26E1" w:rsidRPr="00793A7D">
        <w:rPr>
          <w:szCs w:val="24"/>
          <w:lang w:val="es-AR"/>
        </w:rPr>
        <w:t xml:space="preserve">, </w:t>
      </w:r>
      <w:r w:rsidRPr="00793A7D">
        <w:rPr>
          <w:szCs w:val="24"/>
          <w:lang w:val="es-AR"/>
        </w:rPr>
        <w:t xml:space="preserve">ligeramente por delante de </w:t>
      </w:r>
      <w:r w:rsidR="002C26E1" w:rsidRPr="00793A7D">
        <w:rPr>
          <w:szCs w:val="24"/>
          <w:lang w:val="es-AR"/>
        </w:rPr>
        <w:t xml:space="preserve">EMEA (+4%) </w:t>
      </w:r>
      <w:r>
        <w:rPr>
          <w:szCs w:val="24"/>
          <w:lang w:val="es-AR"/>
        </w:rPr>
        <w:t xml:space="preserve">mientras que </w:t>
      </w:r>
      <w:r w:rsidR="002C26E1" w:rsidRPr="00793A7D">
        <w:rPr>
          <w:szCs w:val="24"/>
          <w:lang w:val="es-AR"/>
        </w:rPr>
        <w:t xml:space="preserve">APAC (+6%) </w:t>
      </w:r>
      <w:r>
        <w:rPr>
          <w:szCs w:val="24"/>
          <w:lang w:val="es-AR"/>
        </w:rPr>
        <w:t>y América Latina liderara</w:t>
      </w:r>
      <w:r w:rsidR="00992617">
        <w:rPr>
          <w:szCs w:val="24"/>
          <w:lang w:val="es-AR"/>
        </w:rPr>
        <w:t>n</w:t>
      </w:r>
      <w:r>
        <w:rPr>
          <w:szCs w:val="24"/>
          <w:lang w:val="es-AR"/>
        </w:rPr>
        <w:t xml:space="preserve"> en crecimiento</w:t>
      </w:r>
      <w:r w:rsidR="002C26E1" w:rsidRPr="00793A7D">
        <w:rPr>
          <w:szCs w:val="24"/>
          <w:lang w:val="es-AR"/>
        </w:rPr>
        <w:t xml:space="preserve">. </w:t>
      </w:r>
      <w:r w:rsidRPr="00793A7D">
        <w:rPr>
          <w:szCs w:val="24"/>
          <w:lang w:val="es-AR"/>
        </w:rPr>
        <w:t xml:space="preserve">Se prevé que </w:t>
      </w:r>
      <w:r w:rsidR="002C26E1" w:rsidRPr="00793A7D">
        <w:rPr>
          <w:szCs w:val="24"/>
          <w:lang w:val="es-AR"/>
        </w:rPr>
        <w:t xml:space="preserve">69 </w:t>
      </w:r>
      <w:r w:rsidRPr="00793A7D">
        <w:rPr>
          <w:szCs w:val="24"/>
          <w:lang w:val="es-AR"/>
        </w:rPr>
        <w:t>de los 70 mercados analizados por MAGNA tengan un cierto crecimiento de mercado – Singapur es el único donde prevemos que no habr</w:t>
      </w:r>
      <w:r>
        <w:rPr>
          <w:szCs w:val="24"/>
          <w:lang w:val="es-AR"/>
        </w:rPr>
        <w:t xml:space="preserve">á crecimiento alguno. </w:t>
      </w:r>
    </w:p>
    <w:p w14:paraId="19764DA0" w14:textId="77777777" w:rsidR="007074A8" w:rsidRPr="00793A7D" w:rsidRDefault="007074A8" w:rsidP="00805E69">
      <w:pPr>
        <w:spacing w:after="0" w:line="240" w:lineRule="auto"/>
        <w:jc w:val="both"/>
        <w:rPr>
          <w:b/>
          <w:szCs w:val="24"/>
          <w:lang w:val="es-AR"/>
        </w:rPr>
      </w:pPr>
    </w:p>
    <w:p w14:paraId="2D8CF8A0" w14:textId="0620CD3A" w:rsidR="00B0319C" w:rsidRPr="00C12B7D" w:rsidRDefault="00793A7D" w:rsidP="00805E69">
      <w:pPr>
        <w:spacing w:after="0" w:line="240" w:lineRule="auto"/>
        <w:jc w:val="both"/>
        <w:rPr>
          <w:lang w:val="es-AR"/>
        </w:rPr>
      </w:pPr>
      <w:r w:rsidRPr="00793A7D">
        <w:rPr>
          <w:b/>
          <w:szCs w:val="24"/>
          <w:lang w:val="es-AR"/>
        </w:rPr>
        <w:t xml:space="preserve">Las ventas en medios digitales crecerán en </w:t>
      </w:r>
      <w:r w:rsidR="00AA7B81" w:rsidRPr="00793A7D">
        <w:rPr>
          <w:b/>
          <w:szCs w:val="24"/>
          <w:lang w:val="es-AR"/>
        </w:rPr>
        <w:t>+</w:t>
      </w:r>
      <w:r w:rsidR="008231BA" w:rsidRPr="00793A7D">
        <w:rPr>
          <w:b/>
          <w:szCs w:val="24"/>
          <w:lang w:val="es-AR"/>
        </w:rPr>
        <w:t>13%</w:t>
      </w:r>
      <w:r w:rsidRPr="00793A7D">
        <w:rPr>
          <w:szCs w:val="24"/>
          <w:lang w:val="es-AR"/>
        </w:rPr>
        <w:t xml:space="preserve"> el año que viene </w:t>
      </w:r>
      <w:r w:rsidRPr="00793A7D">
        <w:rPr>
          <w:b/>
          <w:szCs w:val="24"/>
          <w:lang w:val="es-AR"/>
        </w:rPr>
        <w:t xml:space="preserve">alcanzando los </w:t>
      </w:r>
      <w:r w:rsidR="00FF28E3" w:rsidRPr="00793A7D">
        <w:rPr>
          <w:b/>
          <w:szCs w:val="24"/>
          <w:lang w:val="es-AR"/>
        </w:rPr>
        <w:t>23</w:t>
      </w:r>
      <w:r w:rsidR="00AA7B81" w:rsidRPr="00793A7D">
        <w:rPr>
          <w:b/>
          <w:szCs w:val="24"/>
          <w:lang w:val="es-AR"/>
        </w:rPr>
        <w:t>7</w:t>
      </w:r>
      <w:r w:rsidRPr="00793A7D">
        <w:rPr>
          <w:b/>
          <w:szCs w:val="24"/>
          <w:lang w:val="es-AR"/>
        </w:rPr>
        <w:t xml:space="preserve"> mil millones de d</w:t>
      </w:r>
      <w:r>
        <w:rPr>
          <w:b/>
          <w:szCs w:val="24"/>
          <w:lang w:val="es-AR"/>
        </w:rPr>
        <w:t>ólares</w:t>
      </w:r>
      <w:r w:rsidR="00D14E23" w:rsidRPr="00793A7D">
        <w:rPr>
          <w:b/>
          <w:szCs w:val="24"/>
          <w:lang w:val="es-AR"/>
        </w:rPr>
        <w:t xml:space="preserve"> (</w:t>
      </w:r>
      <w:r>
        <w:rPr>
          <w:b/>
          <w:szCs w:val="24"/>
          <w:lang w:val="es-AR"/>
        </w:rPr>
        <w:t xml:space="preserve">un </w:t>
      </w:r>
      <w:r w:rsidR="00D14E23" w:rsidRPr="00793A7D">
        <w:rPr>
          <w:b/>
          <w:szCs w:val="24"/>
          <w:lang w:val="es-AR"/>
        </w:rPr>
        <w:t xml:space="preserve">44% </w:t>
      </w:r>
      <w:r>
        <w:rPr>
          <w:b/>
          <w:szCs w:val="24"/>
          <w:lang w:val="es-AR"/>
        </w:rPr>
        <w:t>de participación de mercado</w:t>
      </w:r>
      <w:r w:rsidR="00D14E23" w:rsidRPr="00793A7D">
        <w:rPr>
          <w:b/>
          <w:szCs w:val="24"/>
          <w:lang w:val="es-AR"/>
        </w:rPr>
        <w:t>)</w:t>
      </w:r>
      <w:r w:rsidR="008231BA" w:rsidRPr="00793A7D">
        <w:rPr>
          <w:b/>
          <w:szCs w:val="24"/>
          <w:lang w:val="es-AR"/>
        </w:rPr>
        <w:t>,</w:t>
      </w:r>
      <w:r>
        <w:rPr>
          <w:szCs w:val="24"/>
          <w:lang w:val="es-AR"/>
        </w:rPr>
        <w:t xml:space="preserve"> impulsado por search</w:t>
      </w:r>
      <w:r w:rsidR="008231BA" w:rsidRPr="00793A7D">
        <w:rPr>
          <w:szCs w:val="24"/>
          <w:lang w:val="es-AR"/>
        </w:rPr>
        <w:t xml:space="preserve"> (+1</w:t>
      </w:r>
      <w:r w:rsidR="00AA7B81" w:rsidRPr="00793A7D">
        <w:rPr>
          <w:szCs w:val="24"/>
          <w:lang w:val="es-AR"/>
        </w:rPr>
        <w:t>2</w:t>
      </w:r>
      <w:r w:rsidR="008231BA" w:rsidRPr="00793A7D">
        <w:rPr>
          <w:szCs w:val="24"/>
          <w:lang w:val="es-AR"/>
        </w:rPr>
        <w:t>%), social (+2</w:t>
      </w:r>
      <w:r w:rsidR="00AA7B81" w:rsidRPr="00793A7D">
        <w:rPr>
          <w:szCs w:val="24"/>
          <w:lang w:val="es-AR"/>
        </w:rPr>
        <w:t>6</w:t>
      </w:r>
      <w:r w:rsidR="008231BA" w:rsidRPr="00793A7D">
        <w:rPr>
          <w:szCs w:val="24"/>
          <w:lang w:val="es-AR"/>
        </w:rPr>
        <w:t xml:space="preserve">%) </w:t>
      </w:r>
      <w:r>
        <w:rPr>
          <w:szCs w:val="24"/>
          <w:lang w:val="es-AR"/>
        </w:rPr>
        <w:t>y vídeo</w:t>
      </w:r>
      <w:r w:rsidR="008231BA" w:rsidRPr="00793A7D">
        <w:rPr>
          <w:szCs w:val="24"/>
          <w:lang w:val="es-AR"/>
        </w:rPr>
        <w:t xml:space="preserve"> (+2</w:t>
      </w:r>
      <w:r w:rsidR="00AA7B81" w:rsidRPr="00793A7D">
        <w:rPr>
          <w:szCs w:val="24"/>
          <w:lang w:val="es-AR"/>
        </w:rPr>
        <w:t>9</w:t>
      </w:r>
      <w:r w:rsidR="008231BA" w:rsidRPr="00793A7D">
        <w:rPr>
          <w:szCs w:val="24"/>
          <w:lang w:val="es-AR"/>
        </w:rPr>
        <w:t>%)</w:t>
      </w:r>
      <w:r w:rsidR="00FF28E3" w:rsidRPr="00793A7D">
        <w:rPr>
          <w:szCs w:val="24"/>
          <w:lang w:val="es-AR"/>
        </w:rPr>
        <w:t xml:space="preserve"> </w:t>
      </w:r>
      <w:r w:rsidR="00FF28E3" w:rsidRPr="00793A7D">
        <w:rPr>
          <w:i/>
          <w:szCs w:val="24"/>
          <w:lang w:val="es-AR"/>
        </w:rPr>
        <w:t>(</w:t>
      </w:r>
      <w:r w:rsidR="00992617">
        <w:rPr>
          <w:i/>
          <w:szCs w:val="24"/>
          <w:lang w:val="es-AR"/>
        </w:rPr>
        <w:t>Dirígete</w:t>
      </w:r>
      <w:r>
        <w:rPr>
          <w:i/>
          <w:szCs w:val="24"/>
          <w:lang w:val="es-AR"/>
        </w:rPr>
        <w:t xml:space="preserve"> a nuestra sección sobre tendencias digitales</w:t>
      </w:r>
      <w:r w:rsidR="00FF28E3" w:rsidRPr="00793A7D">
        <w:rPr>
          <w:i/>
          <w:szCs w:val="24"/>
          <w:lang w:val="es-AR"/>
        </w:rPr>
        <w:t>)</w:t>
      </w:r>
      <w:r>
        <w:rPr>
          <w:szCs w:val="24"/>
          <w:lang w:val="es-AR"/>
        </w:rPr>
        <w:t xml:space="preserve"> mientras que las ventas publicitarias offline</w:t>
      </w:r>
      <w:r w:rsidR="00C12B7D">
        <w:rPr>
          <w:szCs w:val="24"/>
          <w:lang w:val="es-AR"/>
        </w:rPr>
        <w:t xml:space="preserve"> tendrán una reducción de </w:t>
      </w:r>
      <w:r w:rsidR="003608DA" w:rsidRPr="00793A7D">
        <w:rPr>
          <w:szCs w:val="24"/>
          <w:lang w:val="es-AR"/>
        </w:rPr>
        <w:t>-0</w:t>
      </w:r>
      <w:r w:rsidR="00992617">
        <w:rPr>
          <w:szCs w:val="24"/>
          <w:lang w:val="es-AR"/>
        </w:rPr>
        <w:t>,</w:t>
      </w:r>
      <w:r w:rsidR="003608DA" w:rsidRPr="00793A7D">
        <w:rPr>
          <w:szCs w:val="24"/>
          <w:lang w:val="es-AR"/>
        </w:rPr>
        <w:t xml:space="preserve">5% </w:t>
      </w:r>
      <w:r w:rsidR="00C12B7D">
        <w:rPr>
          <w:szCs w:val="24"/>
          <w:lang w:val="es-AR"/>
        </w:rPr>
        <w:t xml:space="preserve">alcanzando los </w:t>
      </w:r>
      <w:r w:rsidR="003608DA" w:rsidRPr="00793A7D">
        <w:rPr>
          <w:szCs w:val="24"/>
          <w:lang w:val="es-AR"/>
        </w:rPr>
        <w:lastRenderedPageBreak/>
        <w:t xml:space="preserve">298 </w:t>
      </w:r>
      <w:r w:rsidR="00C12B7D">
        <w:rPr>
          <w:szCs w:val="24"/>
          <w:lang w:val="es-AR"/>
        </w:rPr>
        <w:t>mil millones de dólares</w:t>
      </w:r>
      <w:r w:rsidR="00FF28E3" w:rsidRPr="00793A7D">
        <w:rPr>
          <w:szCs w:val="24"/>
          <w:lang w:val="es-AR"/>
        </w:rPr>
        <w:t>.</w:t>
      </w:r>
      <w:r w:rsidR="00EF541D" w:rsidRPr="00793A7D">
        <w:rPr>
          <w:szCs w:val="24"/>
          <w:lang w:val="es-AR"/>
        </w:rPr>
        <w:t xml:space="preserve"> </w:t>
      </w:r>
      <w:r w:rsidR="00C12B7D" w:rsidRPr="00C12B7D">
        <w:rPr>
          <w:szCs w:val="24"/>
          <w:lang w:val="es-AR"/>
        </w:rPr>
        <w:t xml:space="preserve">Dentro de las categorías de medios </w:t>
      </w:r>
      <w:r w:rsidR="00FF28E3" w:rsidRPr="00C12B7D">
        <w:rPr>
          <w:szCs w:val="24"/>
          <w:lang w:val="es-AR"/>
        </w:rPr>
        <w:t>offline</w:t>
      </w:r>
      <w:r w:rsidR="00C12B7D" w:rsidRPr="00C12B7D">
        <w:rPr>
          <w:szCs w:val="24"/>
          <w:lang w:val="es-AR"/>
        </w:rPr>
        <w:t xml:space="preserve">, las ventas publicitarias en </w:t>
      </w:r>
      <w:r w:rsidR="00C12B7D">
        <w:rPr>
          <w:szCs w:val="24"/>
          <w:lang w:val="es-AR"/>
        </w:rPr>
        <w:t>televisió</w:t>
      </w:r>
      <w:r w:rsidR="00C12B7D" w:rsidRPr="00C12B7D">
        <w:rPr>
          <w:szCs w:val="24"/>
          <w:lang w:val="es-AR"/>
        </w:rPr>
        <w:t xml:space="preserve">n crecerán </w:t>
      </w:r>
      <w:r w:rsidR="00FF28E3" w:rsidRPr="00C12B7D">
        <w:rPr>
          <w:szCs w:val="24"/>
          <w:lang w:val="es-AR"/>
        </w:rPr>
        <w:t>+2</w:t>
      </w:r>
      <w:r w:rsidR="00992617">
        <w:rPr>
          <w:szCs w:val="24"/>
          <w:lang w:val="es-AR"/>
        </w:rPr>
        <w:t>,</w:t>
      </w:r>
      <w:r w:rsidR="00FF28E3" w:rsidRPr="00C12B7D">
        <w:rPr>
          <w:szCs w:val="24"/>
          <w:lang w:val="es-AR"/>
        </w:rPr>
        <w:t xml:space="preserve">5% </w:t>
      </w:r>
      <w:r w:rsidR="00FF28E3" w:rsidRPr="00C12B7D">
        <w:rPr>
          <w:i/>
          <w:szCs w:val="24"/>
          <w:lang w:val="es-AR"/>
        </w:rPr>
        <w:t>(</w:t>
      </w:r>
      <w:r w:rsidR="00C12B7D" w:rsidRPr="00C12B7D">
        <w:rPr>
          <w:i/>
          <w:szCs w:val="24"/>
          <w:lang w:val="es-AR"/>
        </w:rPr>
        <w:t>dir</w:t>
      </w:r>
      <w:r w:rsidR="00C12B7D">
        <w:rPr>
          <w:i/>
          <w:szCs w:val="24"/>
          <w:lang w:val="es-AR"/>
        </w:rPr>
        <w:t>í</w:t>
      </w:r>
      <w:r w:rsidR="00C12B7D" w:rsidRPr="00C12B7D">
        <w:rPr>
          <w:i/>
          <w:szCs w:val="24"/>
          <w:lang w:val="es-AR"/>
        </w:rPr>
        <w:t>gete a nuestra sección sobre televisi</w:t>
      </w:r>
      <w:r w:rsidR="00C12B7D">
        <w:rPr>
          <w:i/>
          <w:szCs w:val="24"/>
          <w:lang w:val="es-AR"/>
        </w:rPr>
        <w:t>ón</w:t>
      </w:r>
      <w:r w:rsidR="00FF28E3" w:rsidRPr="00C12B7D">
        <w:rPr>
          <w:i/>
          <w:szCs w:val="24"/>
          <w:lang w:val="es-AR"/>
        </w:rPr>
        <w:t xml:space="preserve">), </w:t>
      </w:r>
      <w:r w:rsidR="00C12B7D">
        <w:rPr>
          <w:szCs w:val="24"/>
          <w:lang w:val="es-AR"/>
        </w:rPr>
        <w:t xml:space="preserve">los ingresos publicitarios en gráfica tendrán una caída de </w:t>
      </w:r>
      <w:r w:rsidR="00AA7B81" w:rsidRPr="00C12B7D">
        <w:rPr>
          <w:szCs w:val="24"/>
          <w:lang w:val="es-AR"/>
        </w:rPr>
        <w:t>-</w:t>
      </w:r>
      <w:r w:rsidR="00FF28E3" w:rsidRPr="00C12B7D">
        <w:rPr>
          <w:szCs w:val="24"/>
          <w:lang w:val="es-AR"/>
        </w:rPr>
        <w:t xml:space="preserve">11%, </w:t>
      </w:r>
      <w:r w:rsidR="00C12B7D">
        <w:rPr>
          <w:szCs w:val="24"/>
          <w:lang w:val="es-AR"/>
        </w:rPr>
        <w:t xml:space="preserve">las ventas publicitarias en radio disminuirán un </w:t>
      </w:r>
      <w:r w:rsidR="00FF28E3" w:rsidRPr="00C12B7D">
        <w:rPr>
          <w:szCs w:val="24"/>
          <w:lang w:val="es-AR"/>
        </w:rPr>
        <w:t xml:space="preserve">-2% </w:t>
      </w:r>
      <w:r w:rsidR="00C12B7D">
        <w:rPr>
          <w:szCs w:val="24"/>
          <w:lang w:val="es-AR"/>
        </w:rPr>
        <w:t xml:space="preserve">y </w:t>
      </w:r>
      <w:r w:rsidR="00FF28E3" w:rsidRPr="00C12B7D">
        <w:rPr>
          <w:szCs w:val="24"/>
          <w:lang w:val="es-AR"/>
        </w:rPr>
        <w:t xml:space="preserve">OOH </w:t>
      </w:r>
      <w:r w:rsidR="00C12B7D">
        <w:rPr>
          <w:szCs w:val="24"/>
          <w:lang w:val="es-AR"/>
        </w:rPr>
        <w:t xml:space="preserve">crecerá </w:t>
      </w:r>
      <w:r w:rsidR="00FF28E3" w:rsidRPr="00C12B7D">
        <w:rPr>
          <w:szCs w:val="24"/>
          <w:lang w:val="es-AR"/>
        </w:rPr>
        <w:t xml:space="preserve">+3%. </w:t>
      </w:r>
      <w:r w:rsidR="00C12B7D" w:rsidRPr="00C12B7D">
        <w:rPr>
          <w:szCs w:val="24"/>
          <w:lang w:val="es-AR"/>
        </w:rPr>
        <w:t xml:space="preserve">Dentro de </w:t>
      </w:r>
      <w:r w:rsidR="00FF28E3" w:rsidRPr="00C12B7D">
        <w:rPr>
          <w:szCs w:val="24"/>
          <w:lang w:val="es-AR"/>
        </w:rPr>
        <w:t xml:space="preserve">OOH, </w:t>
      </w:r>
      <w:r w:rsidR="00C12B7D" w:rsidRPr="00C12B7D">
        <w:rPr>
          <w:szCs w:val="24"/>
          <w:lang w:val="es-AR"/>
        </w:rPr>
        <w:t xml:space="preserve">las ventas publicitarias en paneles digitales crecerán un </w:t>
      </w:r>
      <w:r w:rsidR="00FF28E3" w:rsidRPr="00C12B7D">
        <w:rPr>
          <w:szCs w:val="24"/>
          <w:lang w:val="es-AR"/>
        </w:rPr>
        <w:t xml:space="preserve">15% </w:t>
      </w:r>
      <w:r w:rsidR="00C12B7D">
        <w:rPr>
          <w:szCs w:val="24"/>
          <w:lang w:val="es-AR"/>
        </w:rPr>
        <w:t>alcanzando los 5 mil millones de dólares</w:t>
      </w:r>
      <w:r w:rsidR="001635B0" w:rsidRPr="00C12B7D">
        <w:rPr>
          <w:szCs w:val="24"/>
          <w:lang w:val="es-AR"/>
        </w:rPr>
        <w:t xml:space="preserve"> (18% </w:t>
      </w:r>
      <w:r w:rsidR="00C12B7D">
        <w:rPr>
          <w:szCs w:val="24"/>
          <w:lang w:val="es-AR"/>
        </w:rPr>
        <w:t>del total de ventas publicitarias en OOH excluyendo los cines</w:t>
      </w:r>
      <w:r w:rsidR="001635B0" w:rsidRPr="00C12B7D">
        <w:rPr>
          <w:szCs w:val="24"/>
          <w:lang w:val="es-AR"/>
        </w:rPr>
        <w:t xml:space="preserve">). </w:t>
      </w:r>
      <w:r w:rsidR="00C12B7D" w:rsidRPr="00C12B7D">
        <w:rPr>
          <w:szCs w:val="24"/>
          <w:lang w:val="es-AR"/>
        </w:rPr>
        <w:t>Algu</w:t>
      </w:r>
      <w:r w:rsidR="00C12B7D">
        <w:rPr>
          <w:szCs w:val="24"/>
          <w:lang w:val="es-AR"/>
        </w:rPr>
        <w:t>n</w:t>
      </w:r>
      <w:r w:rsidR="00C12B7D" w:rsidRPr="00C12B7D">
        <w:rPr>
          <w:szCs w:val="24"/>
          <w:lang w:val="es-AR"/>
        </w:rPr>
        <w:t>os mercados están mucho más avanzados en t</w:t>
      </w:r>
      <w:r w:rsidR="00C12B7D">
        <w:rPr>
          <w:szCs w:val="24"/>
          <w:lang w:val="es-AR"/>
        </w:rPr>
        <w:t>é</w:t>
      </w:r>
      <w:r w:rsidR="00C12B7D" w:rsidRPr="00C12B7D">
        <w:rPr>
          <w:szCs w:val="24"/>
          <w:lang w:val="es-AR"/>
        </w:rPr>
        <w:t>rmin</w:t>
      </w:r>
      <w:r w:rsidR="00C12B7D">
        <w:rPr>
          <w:szCs w:val="24"/>
          <w:lang w:val="es-AR"/>
        </w:rPr>
        <w:t>o</w:t>
      </w:r>
      <w:r w:rsidR="00C12B7D" w:rsidRPr="00C12B7D">
        <w:rPr>
          <w:szCs w:val="24"/>
          <w:lang w:val="es-AR"/>
        </w:rPr>
        <w:t>s de digitalización: en el R</w:t>
      </w:r>
      <w:r w:rsidR="00992617">
        <w:rPr>
          <w:szCs w:val="24"/>
          <w:lang w:val="es-AR"/>
        </w:rPr>
        <w:t xml:space="preserve">eino Unido </w:t>
      </w:r>
      <w:r w:rsidR="00C12B7D" w:rsidRPr="00C12B7D">
        <w:rPr>
          <w:szCs w:val="24"/>
          <w:lang w:val="es-AR"/>
        </w:rPr>
        <w:t>las ventas en OOH Digital representar</w:t>
      </w:r>
      <w:r w:rsidR="00C12B7D">
        <w:rPr>
          <w:szCs w:val="24"/>
          <w:lang w:val="es-AR"/>
        </w:rPr>
        <w:t xml:space="preserve">án </w:t>
      </w:r>
      <w:r w:rsidR="00FF28E3" w:rsidRPr="00C12B7D">
        <w:rPr>
          <w:lang w:val="es-AR"/>
        </w:rPr>
        <w:t xml:space="preserve">50% </w:t>
      </w:r>
      <w:r w:rsidR="00C12B7D">
        <w:rPr>
          <w:lang w:val="es-AR"/>
        </w:rPr>
        <w:t xml:space="preserve">de toda la inversión en OOH en breve para el </w:t>
      </w:r>
      <w:r w:rsidR="00FF28E3" w:rsidRPr="00C12B7D">
        <w:rPr>
          <w:lang w:val="es-AR"/>
        </w:rPr>
        <w:t>2018.</w:t>
      </w:r>
    </w:p>
    <w:p w14:paraId="633ABC93" w14:textId="77777777" w:rsidR="00B0319C" w:rsidRPr="00C12B7D" w:rsidRDefault="00B0319C" w:rsidP="00805E69">
      <w:pPr>
        <w:jc w:val="both"/>
        <w:rPr>
          <w:lang w:val="es-AR"/>
        </w:rPr>
      </w:pPr>
    </w:p>
    <w:p w14:paraId="0930C108" w14:textId="188B7907" w:rsidR="002D1761" w:rsidRPr="00291D96" w:rsidRDefault="002D1761" w:rsidP="00805E69">
      <w:pPr>
        <w:pStyle w:val="Heading1"/>
        <w:jc w:val="both"/>
        <w:rPr>
          <w:lang w:val="es-AR"/>
        </w:rPr>
      </w:pPr>
      <w:r w:rsidRPr="00C12B7D">
        <w:rPr>
          <w:lang w:val="es-AR"/>
        </w:rPr>
        <w:t>Foc</w:t>
      </w:r>
      <w:r w:rsidR="00C12B7D" w:rsidRPr="00C12B7D">
        <w:rPr>
          <w:lang w:val="es-AR"/>
        </w:rPr>
        <w:t>o en los EEUU</w:t>
      </w:r>
      <w:r w:rsidRPr="00C12B7D">
        <w:rPr>
          <w:lang w:val="es-AR"/>
        </w:rPr>
        <w:t>: +5</w:t>
      </w:r>
      <w:r w:rsidR="00992617">
        <w:rPr>
          <w:lang w:val="es-AR"/>
        </w:rPr>
        <w:t>,</w:t>
      </w:r>
      <w:r w:rsidRPr="00C12B7D">
        <w:rPr>
          <w:lang w:val="es-AR"/>
        </w:rPr>
        <w:t xml:space="preserve">0% </w:t>
      </w:r>
      <w:r w:rsidR="00C12B7D" w:rsidRPr="00C12B7D">
        <w:rPr>
          <w:lang w:val="es-AR"/>
        </w:rPr>
        <w:t xml:space="preserve">en ventas publicitarias netas para </w:t>
      </w:r>
      <w:r w:rsidRPr="00C12B7D">
        <w:rPr>
          <w:lang w:val="es-AR"/>
        </w:rPr>
        <w:t>2018</w:t>
      </w:r>
    </w:p>
    <w:p w14:paraId="7AFA22B9" w14:textId="2723D124" w:rsidR="007074A8" w:rsidRPr="00A01921" w:rsidRDefault="00A01921" w:rsidP="00805E69">
      <w:pPr>
        <w:spacing w:after="0" w:line="240" w:lineRule="auto"/>
        <w:jc w:val="both"/>
        <w:rPr>
          <w:lang w:val="es-AR"/>
        </w:rPr>
      </w:pPr>
      <w:r w:rsidRPr="00A01921">
        <w:rPr>
          <w:b/>
          <w:lang w:val="es-AR"/>
        </w:rPr>
        <w:t>Los ingresos publicitarios netos de los dueños de medios de EEUU (NAR) tuvieron un crecimiento del +2,1% este año (2017) alcanzando los 186 mil millones de dólares</w:t>
      </w:r>
      <w:r>
        <w:rPr>
          <w:lang w:val="es-AR"/>
        </w:rPr>
        <w:t>, lo cual es un nuevo r</w:t>
      </w:r>
      <w:r w:rsidR="00992617">
        <w:rPr>
          <w:lang w:val="es-AR"/>
        </w:rPr>
        <w:t>é</w:t>
      </w:r>
      <w:r>
        <w:rPr>
          <w:lang w:val="es-AR"/>
        </w:rPr>
        <w:t xml:space="preserve">cord. Esto es ligeramente superior a la última proyección de +1,9% publicada en septiembre de 2017. Si dejamos </w:t>
      </w:r>
      <w:r w:rsidR="00992617">
        <w:rPr>
          <w:lang w:val="es-AR"/>
        </w:rPr>
        <w:t>de lado el impacto de (falta de</w:t>
      </w:r>
      <w:r>
        <w:rPr>
          <w:lang w:val="es-AR"/>
        </w:rPr>
        <w:t>) los eventos cíclicos del 2017, las ventas publicitaras subyacentes crecieron +3,9%. Esto es inferior al subyacente crecimiento extremadamente fuerte del 2016 (+5,9%), pero ligeramente mayor que el +3,6% previsto en nuestra última proyección (s</w:t>
      </w:r>
      <w:r w:rsidR="00503195">
        <w:rPr>
          <w:lang w:val="es-AR"/>
        </w:rPr>
        <w:t>ep</w:t>
      </w:r>
      <w:r>
        <w:rPr>
          <w:lang w:val="es-AR"/>
        </w:rPr>
        <w:t xml:space="preserve">tiembre 2017). </w:t>
      </w:r>
    </w:p>
    <w:p w14:paraId="2E69F3CC" w14:textId="43A4C573" w:rsidR="002D1761" w:rsidRPr="00503195" w:rsidRDefault="00503195" w:rsidP="00805E69">
      <w:pPr>
        <w:spacing w:after="0" w:line="240" w:lineRule="auto"/>
        <w:jc w:val="both"/>
        <w:rPr>
          <w:lang w:val="es-AR"/>
        </w:rPr>
      </w:pPr>
      <w:r w:rsidRPr="00503195">
        <w:rPr>
          <w:b/>
          <w:lang w:val="es-AR"/>
        </w:rPr>
        <w:t xml:space="preserve">El </w:t>
      </w:r>
      <w:r w:rsidR="002D1761" w:rsidRPr="00503195">
        <w:rPr>
          <w:b/>
          <w:lang w:val="es-AR"/>
        </w:rPr>
        <w:t xml:space="preserve">2018 </w:t>
      </w:r>
      <w:r w:rsidRPr="00503195">
        <w:rPr>
          <w:b/>
          <w:lang w:val="es-AR"/>
        </w:rPr>
        <w:t>verá el regreso de los impulsores cíclicos de los años pares para la inversi</w:t>
      </w:r>
      <w:r>
        <w:rPr>
          <w:b/>
          <w:lang w:val="es-AR"/>
        </w:rPr>
        <w:t>ó</w:t>
      </w:r>
      <w:r w:rsidRPr="00503195">
        <w:rPr>
          <w:b/>
          <w:lang w:val="es-AR"/>
        </w:rPr>
        <w:t xml:space="preserve">n publicitaria </w:t>
      </w:r>
      <w:r w:rsidRPr="00503195">
        <w:rPr>
          <w:lang w:val="es-AR"/>
        </w:rPr>
        <w:t>y los ingresos publicitarios incrementales que serán generados en torno a las elecciones intermedias, los Juegos Ol</w:t>
      </w:r>
      <w:r>
        <w:rPr>
          <w:lang w:val="es-AR"/>
        </w:rPr>
        <w:t xml:space="preserve">ímpicos de invierno y la Copa del Mundo, en orden o magnitud decreciente. Estos eventos cíclicos ayudarán a acelerar el crecimiento publicitario en </w:t>
      </w:r>
      <w:r w:rsidR="002D1761" w:rsidRPr="00503195">
        <w:rPr>
          <w:b/>
          <w:lang w:val="es-AR"/>
        </w:rPr>
        <w:t>+5</w:t>
      </w:r>
      <w:r w:rsidR="004E7E13">
        <w:rPr>
          <w:b/>
          <w:lang w:val="es-AR"/>
        </w:rPr>
        <w:t>,</w:t>
      </w:r>
      <w:r w:rsidR="002D1761" w:rsidRPr="00503195">
        <w:rPr>
          <w:b/>
          <w:lang w:val="es-AR"/>
        </w:rPr>
        <w:t xml:space="preserve">0% </w:t>
      </w:r>
      <w:r w:rsidRPr="00503195">
        <w:rPr>
          <w:b/>
          <w:lang w:val="es-AR"/>
        </w:rPr>
        <w:t>el año que viene alcanzando los 195 mil millones de d</w:t>
      </w:r>
      <w:r>
        <w:rPr>
          <w:b/>
          <w:lang w:val="es-AR"/>
        </w:rPr>
        <w:t xml:space="preserve">ólares. </w:t>
      </w:r>
      <w:r w:rsidRPr="00503195">
        <w:rPr>
          <w:lang w:val="es-AR"/>
        </w:rPr>
        <w:t>No obstante, si excluimos los eventos cíclicos</w:t>
      </w:r>
      <w:r w:rsidR="004E7E13">
        <w:rPr>
          <w:lang w:val="es-AR"/>
        </w:rPr>
        <w:t>,</w:t>
      </w:r>
      <w:r w:rsidRPr="00503195">
        <w:rPr>
          <w:lang w:val="es-AR"/>
        </w:rPr>
        <w:t xml:space="preserve"> el crecimiento normalizado ser</w:t>
      </w:r>
      <w:r>
        <w:rPr>
          <w:lang w:val="es-AR"/>
        </w:rPr>
        <w:t>á</w:t>
      </w:r>
      <w:r w:rsidRPr="00503195">
        <w:rPr>
          <w:lang w:val="es-AR"/>
        </w:rPr>
        <w:t xml:space="preserve"> cercano al </w:t>
      </w:r>
      <w:r w:rsidR="00D93887" w:rsidRPr="00503195">
        <w:rPr>
          <w:lang w:val="es-AR"/>
        </w:rPr>
        <w:t>+3</w:t>
      </w:r>
      <w:r w:rsidR="004E7E13">
        <w:rPr>
          <w:lang w:val="es-AR"/>
        </w:rPr>
        <w:t>,</w:t>
      </w:r>
      <w:r w:rsidR="00D93887" w:rsidRPr="00503195">
        <w:rPr>
          <w:lang w:val="es-AR"/>
        </w:rPr>
        <w:t>2</w:t>
      </w:r>
      <w:r w:rsidR="002D1761" w:rsidRPr="00503195">
        <w:rPr>
          <w:lang w:val="es-AR"/>
        </w:rPr>
        <w:t xml:space="preserve">%, </w:t>
      </w:r>
      <w:r>
        <w:rPr>
          <w:lang w:val="es-AR"/>
        </w:rPr>
        <w:t xml:space="preserve">lo cual muestra una desaceleración gradual en los ingresos publicitarios no cíclicos </w:t>
      </w:r>
      <w:r w:rsidR="002D1761" w:rsidRPr="00503195">
        <w:rPr>
          <w:lang w:val="es-AR"/>
        </w:rPr>
        <w:t>(2016: +5</w:t>
      </w:r>
      <w:r w:rsidR="004E7E13">
        <w:rPr>
          <w:lang w:val="es-AR"/>
        </w:rPr>
        <w:t>,</w:t>
      </w:r>
      <w:r w:rsidR="002D1761" w:rsidRPr="00503195">
        <w:rPr>
          <w:lang w:val="es-AR"/>
        </w:rPr>
        <w:t>9%, 2017: +3</w:t>
      </w:r>
      <w:r w:rsidR="004E7E13">
        <w:rPr>
          <w:lang w:val="es-AR"/>
        </w:rPr>
        <w:t>,</w:t>
      </w:r>
      <w:r w:rsidR="002D1761" w:rsidRPr="00503195">
        <w:rPr>
          <w:lang w:val="es-AR"/>
        </w:rPr>
        <w:t>9%).</w:t>
      </w:r>
    </w:p>
    <w:p w14:paraId="69131581" w14:textId="77777777" w:rsidR="007074A8" w:rsidRPr="00503195" w:rsidRDefault="007074A8" w:rsidP="00805E69">
      <w:pPr>
        <w:spacing w:after="0" w:line="240" w:lineRule="auto"/>
        <w:jc w:val="both"/>
        <w:rPr>
          <w:b/>
          <w:lang w:val="es-AR"/>
        </w:rPr>
      </w:pPr>
    </w:p>
    <w:p w14:paraId="31BAB32D" w14:textId="5130DE0C" w:rsidR="002D1761" w:rsidRPr="003A4D7A" w:rsidRDefault="00503195" w:rsidP="00805E69">
      <w:pPr>
        <w:spacing w:after="0" w:line="240" w:lineRule="auto"/>
        <w:jc w:val="both"/>
        <w:rPr>
          <w:lang w:val="es-AR"/>
        </w:rPr>
      </w:pPr>
      <w:r w:rsidRPr="00503195">
        <w:rPr>
          <w:b/>
          <w:lang w:val="es-AR"/>
        </w:rPr>
        <w:t xml:space="preserve">Las ventas publicitarias digitales </w:t>
      </w:r>
      <w:r w:rsidRPr="00503195">
        <w:rPr>
          <w:lang w:val="es-AR"/>
        </w:rPr>
        <w:t xml:space="preserve">crecieron </w:t>
      </w:r>
      <w:r w:rsidR="002D1761" w:rsidRPr="00503195">
        <w:rPr>
          <w:lang w:val="es-AR"/>
        </w:rPr>
        <w:t xml:space="preserve">+17% </w:t>
      </w:r>
      <w:r w:rsidRPr="00503195">
        <w:rPr>
          <w:lang w:val="es-AR"/>
        </w:rPr>
        <w:t xml:space="preserve">este año, mostrando una pequeña desaceleración desde el crecimiento del 2016 del </w:t>
      </w:r>
      <w:r w:rsidR="002D1761" w:rsidRPr="00503195">
        <w:rPr>
          <w:lang w:val="es-AR"/>
        </w:rPr>
        <w:t xml:space="preserve">+21%, </w:t>
      </w:r>
      <w:r>
        <w:rPr>
          <w:lang w:val="es-AR"/>
        </w:rPr>
        <w:t>dado que m</w:t>
      </w:r>
      <w:r w:rsidR="002D1761" w:rsidRPr="00503195">
        <w:rPr>
          <w:lang w:val="es-AR"/>
        </w:rPr>
        <w:t>obile search, v</w:t>
      </w:r>
      <w:r w:rsidR="004E7E13">
        <w:rPr>
          <w:lang w:val="es-AR"/>
        </w:rPr>
        <w:t>í</w:t>
      </w:r>
      <w:r w:rsidR="002D1761" w:rsidRPr="00503195">
        <w:rPr>
          <w:lang w:val="es-AR"/>
        </w:rPr>
        <w:t xml:space="preserve">deo </w:t>
      </w:r>
      <w:r>
        <w:rPr>
          <w:lang w:val="es-AR"/>
        </w:rPr>
        <w:t>y</w:t>
      </w:r>
      <w:r w:rsidR="002D1761" w:rsidRPr="00503195">
        <w:rPr>
          <w:lang w:val="es-AR"/>
        </w:rPr>
        <w:t xml:space="preserve"> social </w:t>
      </w:r>
      <w:r>
        <w:rPr>
          <w:lang w:val="es-AR"/>
        </w:rPr>
        <w:t xml:space="preserve">impulsan el crecimiento. </w:t>
      </w:r>
      <w:r w:rsidRPr="00503195">
        <w:rPr>
          <w:lang w:val="es-AR"/>
        </w:rPr>
        <w:t>E</w:t>
      </w:r>
      <w:r w:rsidR="002D1761" w:rsidRPr="00503195">
        <w:rPr>
          <w:lang w:val="es-AR"/>
        </w:rPr>
        <w:t xml:space="preserve">n 2017 </w:t>
      </w:r>
      <w:r w:rsidRPr="00503195">
        <w:rPr>
          <w:lang w:val="es-AR"/>
        </w:rPr>
        <w:t>los formatos digitales generaron 85 mil millones de dó</w:t>
      </w:r>
      <w:r w:rsidR="003A4D7A">
        <w:rPr>
          <w:lang w:val="es-AR"/>
        </w:rPr>
        <w:t>lares</w:t>
      </w:r>
      <w:r w:rsidRPr="00503195">
        <w:rPr>
          <w:lang w:val="es-AR"/>
        </w:rPr>
        <w:t xml:space="preserve"> en ingresos publicitarios mientras que las ventas en medio</w:t>
      </w:r>
      <w:r>
        <w:rPr>
          <w:lang w:val="es-AR"/>
        </w:rPr>
        <w:t>s offline (T</w:t>
      </w:r>
      <w:r w:rsidR="004E7E13">
        <w:rPr>
          <w:lang w:val="es-AR"/>
        </w:rPr>
        <w:t>V</w:t>
      </w:r>
      <w:r>
        <w:rPr>
          <w:lang w:val="es-AR"/>
        </w:rPr>
        <w:t xml:space="preserve"> lineal, radio y O</w:t>
      </w:r>
      <w:r w:rsidRPr="00503195">
        <w:rPr>
          <w:lang w:val="es-AR"/>
        </w:rPr>
        <w:t>OH)</w:t>
      </w:r>
      <w:r>
        <w:rPr>
          <w:lang w:val="es-AR"/>
        </w:rPr>
        <w:t xml:space="preserve"> </w:t>
      </w:r>
      <w:r w:rsidRPr="00503195">
        <w:rPr>
          <w:b/>
          <w:lang w:val="es-AR"/>
        </w:rPr>
        <w:t xml:space="preserve">tuvieron una caída del </w:t>
      </w:r>
      <w:r w:rsidR="002D1761" w:rsidRPr="00503195">
        <w:rPr>
          <w:b/>
          <w:lang w:val="es-AR"/>
        </w:rPr>
        <w:t xml:space="preserve">-5% </w:t>
      </w:r>
      <w:r>
        <w:rPr>
          <w:b/>
          <w:lang w:val="es-AR"/>
        </w:rPr>
        <w:t xml:space="preserve">alcanzando los </w:t>
      </w:r>
      <w:r w:rsidR="002D1761" w:rsidRPr="00503195">
        <w:rPr>
          <w:b/>
          <w:lang w:val="es-AR"/>
        </w:rPr>
        <w:t>101</w:t>
      </w:r>
      <w:r>
        <w:rPr>
          <w:b/>
          <w:lang w:val="es-AR"/>
        </w:rPr>
        <w:t xml:space="preserve"> mil millones de dó</w:t>
      </w:r>
      <w:r w:rsidR="003A4D7A">
        <w:rPr>
          <w:b/>
          <w:lang w:val="es-AR"/>
        </w:rPr>
        <w:t>la</w:t>
      </w:r>
      <w:r>
        <w:rPr>
          <w:b/>
          <w:lang w:val="es-AR"/>
        </w:rPr>
        <w:t>res</w:t>
      </w:r>
      <w:r w:rsidR="002D1761" w:rsidRPr="00503195">
        <w:rPr>
          <w:b/>
          <w:lang w:val="es-AR"/>
        </w:rPr>
        <w:t xml:space="preserve">. </w:t>
      </w:r>
      <w:r w:rsidR="003A4D7A" w:rsidRPr="003A4D7A">
        <w:rPr>
          <w:lang w:val="es-AR"/>
        </w:rPr>
        <w:t xml:space="preserve">Dentro de las ventas publicitarias digitales, </w:t>
      </w:r>
      <w:r w:rsidR="002D1761" w:rsidRPr="003A4D7A">
        <w:rPr>
          <w:lang w:val="es-AR"/>
        </w:rPr>
        <w:t>v</w:t>
      </w:r>
      <w:r w:rsidR="004E7E13">
        <w:rPr>
          <w:lang w:val="es-AR"/>
        </w:rPr>
        <w:t>í</w:t>
      </w:r>
      <w:r w:rsidR="002D1761" w:rsidRPr="003A4D7A">
        <w:rPr>
          <w:lang w:val="es-AR"/>
        </w:rPr>
        <w:t xml:space="preserve">deo </w:t>
      </w:r>
      <w:r w:rsidR="003A4D7A" w:rsidRPr="003A4D7A">
        <w:rPr>
          <w:lang w:val="es-AR"/>
        </w:rPr>
        <w:t>y</w:t>
      </w:r>
      <w:r w:rsidR="002D1761" w:rsidRPr="003A4D7A">
        <w:rPr>
          <w:lang w:val="es-AR"/>
        </w:rPr>
        <w:t xml:space="preserve"> social </w:t>
      </w:r>
      <w:r w:rsidR="003A4D7A" w:rsidRPr="003A4D7A">
        <w:rPr>
          <w:lang w:val="es-AR"/>
        </w:rPr>
        <w:t>se mantienen como los formatos de mayor crecimiento.</w:t>
      </w:r>
      <w:r w:rsidR="003A4D7A">
        <w:rPr>
          <w:lang w:val="es-AR"/>
        </w:rPr>
        <w:t xml:space="preserve"> A diferencia de los informes previos de Facebook donde se advertía sobre la posibilidad de una desaceleración e</w:t>
      </w:r>
      <w:r w:rsidR="003A4D7A" w:rsidRPr="009C6DC2">
        <w:rPr>
          <w:lang w:val="es-AR"/>
        </w:rPr>
        <w:t>n las ventas publicitarias dentro de las redes sociales, el crecimiento en redes sociales se mantuvo excepcionalmente fuerte en el tercer trimestre, en el cual las ventas publicitarias en redes sociales crecieron</w:t>
      </w:r>
      <w:r w:rsidR="002D1761" w:rsidRPr="009C6DC2">
        <w:rPr>
          <w:lang w:val="es-AR"/>
        </w:rPr>
        <w:t xml:space="preserve"> +39%. </w:t>
      </w:r>
      <w:r w:rsidR="003A4D7A" w:rsidRPr="009C6DC2">
        <w:rPr>
          <w:lang w:val="es-AR"/>
        </w:rPr>
        <w:t xml:space="preserve"> Dentro de las redes sociales, las ventas de formatos publicitarios de vídeo se verán más que duplicadas este año, alcanzando los </w:t>
      </w:r>
      <w:r w:rsidR="002D1761" w:rsidRPr="009C6DC2">
        <w:rPr>
          <w:lang w:val="es-AR"/>
        </w:rPr>
        <w:t>4</w:t>
      </w:r>
      <w:r w:rsidR="009C6DC2" w:rsidRPr="009C6DC2">
        <w:rPr>
          <w:lang w:val="es-AR"/>
        </w:rPr>
        <w:t>.</w:t>
      </w:r>
      <w:r w:rsidR="002D1761" w:rsidRPr="009C6DC2">
        <w:rPr>
          <w:lang w:val="es-AR"/>
        </w:rPr>
        <w:t>9</w:t>
      </w:r>
      <w:r w:rsidR="003A4D7A" w:rsidRPr="009C6DC2">
        <w:rPr>
          <w:lang w:val="es-AR"/>
        </w:rPr>
        <w:t xml:space="preserve"> mil millones de dólares, es decir </w:t>
      </w:r>
      <w:r w:rsidR="002D1761" w:rsidRPr="009C6DC2">
        <w:rPr>
          <w:lang w:val="es-AR"/>
        </w:rPr>
        <w:t xml:space="preserve">22% </w:t>
      </w:r>
      <w:r w:rsidR="003A4D7A" w:rsidRPr="009C6DC2">
        <w:rPr>
          <w:lang w:val="es-AR"/>
        </w:rPr>
        <w:t xml:space="preserve">del total del mercado publicitario en redes sociales </w:t>
      </w:r>
      <w:r w:rsidR="004E7E13" w:rsidRPr="009C6DC2">
        <w:rPr>
          <w:lang w:val="es-AR"/>
        </w:rPr>
        <w:t>(</w:t>
      </w:r>
      <w:r w:rsidR="002D1761" w:rsidRPr="009C6DC2">
        <w:rPr>
          <w:lang w:val="es-AR"/>
        </w:rPr>
        <w:t>22</w:t>
      </w:r>
      <w:r w:rsidR="003A4D7A" w:rsidRPr="009C6DC2">
        <w:rPr>
          <w:lang w:val="es-AR"/>
        </w:rPr>
        <w:t xml:space="preserve"> mil millones de dólares</w:t>
      </w:r>
      <w:r w:rsidR="002D1761" w:rsidRPr="009C6DC2">
        <w:rPr>
          <w:lang w:val="es-AR"/>
        </w:rPr>
        <w:t xml:space="preserve">). </w:t>
      </w:r>
      <w:r w:rsidR="003A4D7A" w:rsidRPr="009C6DC2">
        <w:rPr>
          <w:lang w:val="es-AR"/>
        </w:rPr>
        <w:t xml:space="preserve">En todo el año las redes sociales crecerán </w:t>
      </w:r>
      <w:r w:rsidR="002D1761" w:rsidRPr="009C6DC2">
        <w:rPr>
          <w:lang w:val="es-AR"/>
        </w:rPr>
        <w:t xml:space="preserve">+37%, </w:t>
      </w:r>
      <w:r w:rsidR="003A4D7A" w:rsidRPr="009C6DC2">
        <w:rPr>
          <w:lang w:val="es-AR"/>
        </w:rPr>
        <w:t xml:space="preserve">mientras que vídeo crecerá </w:t>
      </w:r>
      <w:r w:rsidR="002D1761" w:rsidRPr="009C6DC2">
        <w:rPr>
          <w:lang w:val="es-AR"/>
        </w:rPr>
        <w:t xml:space="preserve">+28%. </w:t>
      </w:r>
      <w:r w:rsidR="003A4D7A" w:rsidRPr="009C6DC2">
        <w:rPr>
          <w:lang w:val="es-AR"/>
        </w:rPr>
        <w:t xml:space="preserve">Las ventas publicitarias generadas a través de dispositivos móviles crecerán </w:t>
      </w:r>
      <w:r w:rsidR="002D1761" w:rsidRPr="009C6DC2">
        <w:rPr>
          <w:lang w:val="es-AR"/>
        </w:rPr>
        <w:t>+39%</w:t>
      </w:r>
      <w:r w:rsidR="003A4D7A" w:rsidRPr="009C6DC2">
        <w:rPr>
          <w:lang w:val="es-AR"/>
        </w:rPr>
        <w:t xml:space="preserve"> y representarán </w:t>
      </w:r>
      <w:r w:rsidR="002D1761" w:rsidRPr="009C6DC2">
        <w:rPr>
          <w:lang w:val="es-AR"/>
        </w:rPr>
        <w:t xml:space="preserve">59% </w:t>
      </w:r>
      <w:r w:rsidR="003A4D7A" w:rsidRPr="009C6DC2">
        <w:rPr>
          <w:lang w:val="es-AR"/>
        </w:rPr>
        <w:t>de los medios digitales para fines del 2017.</w:t>
      </w:r>
      <w:r w:rsidR="002D1761" w:rsidRPr="009C6DC2">
        <w:rPr>
          <w:lang w:val="es-AR"/>
        </w:rPr>
        <w:t xml:space="preserve"> Mobile video (+52%), social (+43%) </w:t>
      </w:r>
      <w:r w:rsidR="003A4D7A" w:rsidRPr="009C6DC2">
        <w:rPr>
          <w:lang w:val="es-AR"/>
        </w:rPr>
        <w:t>y</w:t>
      </w:r>
      <w:r w:rsidR="002D1761" w:rsidRPr="009C6DC2">
        <w:rPr>
          <w:lang w:val="es-AR"/>
        </w:rPr>
        <w:t xml:space="preserve"> search (+38%) </w:t>
      </w:r>
      <w:r w:rsidR="003A4D7A" w:rsidRPr="009C6DC2">
        <w:rPr>
          <w:lang w:val="es-AR"/>
        </w:rPr>
        <w:t xml:space="preserve">son los principales impulsores de todos los medios digitales. Vale destacar el  </w:t>
      </w:r>
      <w:r w:rsidR="003A4D7A" w:rsidRPr="009C6DC2">
        <w:rPr>
          <w:lang w:val="es-AR"/>
        </w:rPr>
        <w:lastRenderedPageBreak/>
        <w:t xml:space="preserve">crecimiento de mobile search. A pesar de ser un formato más maduro, generará más de </w:t>
      </w:r>
      <w:r w:rsidR="002D1761" w:rsidRPr="009C6DC2">
        <w:rPr>
          <w:lang w:val="es-AR"/>
        </w:rPr>
        <w:t>6</w:t>
      </w:r>
      <w:r w:rsidR="009C6DC2" w:rsidRPr="009C6DC2">
        <w:rPr>
          <w:lang w:val="es-AR"/>
        </w:rPr>
        <w:t>.</w:t>
      </w:r>
      <w:r w:rsidR="002D1761" w:rsidRPr="009C6DC2">
        <w:rPr>
          <w:lang w:val="es-AR"/>
        </w:rPr>
        <w:t>6</w:t>
      </w:r>
      <w:r w:rsidR="003A4D7A" w:rsidRPr="009C6DC2">
        <w:rPr>
          <w:lang w:val="es-AR"/>
        </w:rPr>
        <w:t xml:space="preserve"> mil millones de d</w:t>
      </w:r>
      <w:r w:rsidR="004E7E13" w:rsidRPr="009C6DC2">
        <w:rPr>
          <w:lang w:val="es-AR"/>
        </w:rPr>
        <w:t xml:space="preserve">ólares </w:t>
      </w:r>
      <w:r w:rsidR="003A4D7A" w:rsidRPr="009C6DC2">
        <w:rPr>
          <w:lang w:val="es-AR"/>
        </w:rPr>
        <w:t xml:space="preserve">publicitarios incrementales en </w:t>
      </w:r>
      <w:r w:rsidR="002D1761" w:rsidRPr="009C6DC2">
        <w:rPr>
          <w:lang w:val="es-AR"/>
        </w:rPr>
        <w:t>2017 (compar</w:t>
      </w:r>
      <w:r w:rsidR="003A4D7A" w:rsidRPr="009C6DC2">
        <w:rPr>
          <w:lang w:val="es-AR"/>
        </w:rPr>
        <w:t xml:space="preserve">ado con los </w:t>
      </w:r>
      <w:r w:rsidR="002D1761" w:rsidRPr="009C6DC2">
        <w:rPr>
          <w:lang w:val="es-AR"/>
        </w:rPr>
        <w:t>1</w:t>
      </w:r>
      <w:r w:rsidR="009C6DC2" w:rsidRPr="009C6DC2">
        <w:rPr>
          <w:lang w:val="es-AR"/>
        </w:rPr>
        <w:t>.3</w:t>
      </w:r>
      <w:r w:rsidR="003A4D7A" w:rsidRPr="009C6DC2">
        <w:rPr>
          <w:lang w:val="es-AR"/>
        </w:rPr>
        <w:t xml:space="preserve"> mil millones de dólares de mobile video y los 5</w:t>
      </w:r>
      <w:r w:rsidR="009C6DC2" w:rsidRPr="009C6DC2">
        <w:rPr>
          <w:lang w:val="es-AR"/>
        </w:rPr>
        <w:t>.</w:t>
      </w:r>
      <w:r w:rsidR="003A4D7A" w:rsidRPr="009C6DC2">
        <w:rPr>
          <w:lang w:val="es-AR"/>
        </w:rPr>
        <w:t xml:space="preserve">8 mil millones de dólares de </w:t>
      </w:r>
      <w:r w:rsidR="002D1761" w:rsidRPr="009C6DC2">
        <w:rPr>
          <w:lang w:val="es-AR"/>
        </w:rPr>
        <w:t xml:space="preserve">mobile social). </w:t>
      </w:r>
      <w:r w:rsidR="003A4D7A" w:rsidRPr="009C6DC2">
        <w:rPr>
          <w:lang w:val="es-AR"/>
        </w:rPr>
        <w:t>E</w:t>
      </w:r>
      <w:r w:rsidR="002D1761" w:rsidRPr="009C6DC2">
        <w:rPr>
          <w:lang w:val="es-AR"/>
        </w:rPr>
        <w:t xml:space="preserve">n 2018, </w:t>
      </w:r>
      <w:r w:rsidR="003A4D7A" w:rsidRPr="009C6DC2">
        <w:rPr>
          <w:lang w:val="es-AR"/>
        </w:rPr>
        <w:t>las ventas publicita</w:t>
      </w:r>
      <w:r w:rsidR="003A4D7A" w:rsidRPr="003A4D7A">
        <w:rPr>
          <w:lang w:val="es-AR"/>
        </w:rPr>
        <w:t>rias en medios di</w:t>
      </w:r>
      <w:r w:rsidR="003A4D7A">
        <w:rPr>
          <w:lang w:val="es-AR"/>
        </w:rPr>
        <w:t>gitales crecerán con dos dígitos nuevamente</w:t>
      </w:r>
      <w:r w:rsidR="002D1761" w:rsidRPr="003A4D7A">
        <w:rPr>
          <w:lang w:val="es-AR"/>
        </w:rPr>
        <w:t xml:space="preserve">: search +12%, video +27% </w:t>
      </w:r>
      <w:r w:rsidR="003A4D7A">
        <w:rPr>
          <w:lang w:val="es-AR"/>
        </w:rPr>
        <w:t>y</w:t>
      </w:r>
      <w:r w:rsidR="002D1761" w:rsidRPr="003A4D7A">
        <w:rPr>
          <w:lang w:val="es-AR"/>
        </w:rPr>
        <w:t xml:space="preserve"> social +23%.</w:t>
      </w:r>
    </w:p>
    <w:p w14:paraId="1C2CF146" w14:textId="77777777" w:rsidR="007074A8" w:rsidRPr="003A4D7A" w:rsidRDefault="007074A8" w:rsidP="00805E69">
      <w:pPr>
        <w:spacing w:after="0" w:line="240" w:lineRule="auto"/>
        <w:jc w:val="both"/>
        <w:rPr>
          <w:b/>
          <w:lang w:val="es-AR"/>
        </w:rPr>
      </w:pPr>
    </w:p>
    <w:p w14:paraId="6278858F" w14:textId="079C829D" w:rsidR="002D1761" w:rsidRPr="00C054E0" w:rsidRDefault="00C054E0" w:rsidP="00805E69">
      <w:pPr>
        <w:spacing w:after="0" w:line="240" w:lineRule="auto"/>
        <w:jc w:val="both"/>
        <w:rPr>
          <w:lang w:val="es-AR"/>
        </w:rPr>
      </w:pPr>
      <w:r w:rsidRPr="00C054E0">
        <w:rPr>
          <w:b/>
          <w:lang w:val="es-AR"/>
        </w:rPr>
        <w:t>Tras un positivo 2016, la televisi</w:t>
      </w:r>
      <w:r>
        <w:rPr>
          <w:b/>
          <w:lang w:val="es-AR"/>
        </w:rPr>
        <w:t>ó</w:t>
      </w:r>
      <w:r w:rsidRPr="00C054E0">
        <w:rPr>
          <w:b/>
          <w:lang w:val="es-AR"/>
        </w:rPr>
        <w:t>n nacional lineal ha estado haciend</w:t>
      </w:r>
      <w:r>
        <w:rPr>
          <w:b/>
          <w:lang w:val="es-AR"/>
        </w:rPr>
        <w:t>o</w:t>
      </w:r>
      <w:r w:rsidRPr="00C054E0">
        <w:rPr>
          <w:b/>
          <w:lang w:val="es-AR"/>
        </w:rPr>
        <w:t xml:space="preserve"> grandes esfuerzos nuevamente en 2017.</w:t>
      </w:r>
      <w:r>
        <w:rPr>
          <w:lang w:val="es-AR"/>
        </w:rPr>
        <w:t xml:space="preserve">Las ventas publicitarias nacionales (sin incluir los efectos cíclicos) disminuyeron </w:t>
      </w:r>
      <w:r w:rsidR="002D1761" w:rsidRPr="00C054E0">
        <w:rPr>
          <w:lang w:val="es-AR"/>
        </w:rPr>
        <w:t>-1</w:t>
      </w:r>
      <w:r w:rsidR="004E7E13">
        <w:rPr>
          <w:lang w:val="es-AR"/>
        </w:rPr>
        <w:t>,</w:t>
      </w:r>
      <w:r w:rsidR="002D1761" w:rsidRPr="00C054E0">
        <w:rPr>
          <w:lang w:val="es-AR"/>
        </w:rPr>
        <w:t xml:space="preserve">5% </w:t>
      </w:r>
      <w:r>
        <w:rPr>
          <w:lang w:val="es-AR"/>
        </w:rPr>
        <w:t xml:space="preserve">en el tercer trimestre del 2017, tal como fue previsto por MAGNA debido </w:t>
      </w:r>
      <w:r w:rsidR="004E7E13">
        <w:rPr>
          <w:lang w:val="es-AR"/>
        </w:rPr>
        <w:t xml:space="preserve">a </w:t>
      </w:r>
      <w:r>
        <w:rPr>
          <w:lang w:val="es-AR"/>
        </w:rPr>
        <w:t xml:space="preserve">que los ratings en prime time continuaron sufriendo </w:t>
      </w:r>
      <w:r w:rsidR="004E7E13">
        <w:rPr>
          <w:lang w:val="es-AR"/>
        </w:rPr>
        <w:t xml:space="preserve">de la </w:t>
      </w:r>
      <w:r>
        <w:rPr>
          <w:lang w:val="es-AR"/>
        </w:rPr>
        <w:t xml:space="preserve">erosión </w:t>
      </w:r>
      <w:r w:rsidR="002D1761" w:rsidRPr="00C054E0">
        <w:rPr>
          <w:lang w:val="es-AR"/>
        </w:rPr>
        <w:t xml:space="preserve">(broadcast: -9%, cable: -6%). </w:t>
      </w:r>
      <w:r w:rsidRPr="00C054E0">
        <w:rPr>
          <w:b/>
          <w:lang w:val="es-AR"/>
        </w:rPr>
        <w:t>Para la totalidad del año 2017</w:t>
      </w:r>
      <w:r w:rsidR="002D1761" w:rsidRPr="00C054E0">
        <w:rPr>
          <w:b/>
          <w:lang w:val="es-AR"/>
        </w:rPr>
        <w:t>,</w:t>
      </w:r>
      <w:r>
        <w:rPr>
          <w:b/>
          <w:lang w:val="es-AR"/>
        </w:rPr>
        <w:t xml:space="preserve"> se prevé que</w:t>
      </w:r>
      <w:r w:rsidRPr="00C054E0">
        <w:rPr>
          <w:b/>
          <w:lang w:val="es-AR"/>
        </w:rPr>
        <w:t xml:space="preserve"> las ventas publicitarias de televisi</w:t>
      </w:r>
      <w:r>
        <w:rPr>
          <w:b/>
          <w:lang w:val="es-AR"/>
        </w:rPr>
        <w:t>ón nacional (sin incluir los eventos cíclicos)</w:t>
      </w:r>
      <w:r w:rsidR="002D1761" w:rsidRPr="00C054E0">
        <w:rPr>
          <w:b/>
          <w:lang w:val="es-AR"/>
        </w:rPr>
        <w:t xml:space="preserve"> </w:t>
      </w:r>
      <w:r>
        <w:rPr>
          <w:b/>
          <w:lang w:val="es-AR"/>
        </w:rPr>
        <w:t>disminuyan un</w:t>
      </w:r>
      <w:r w:rsidR="002D1761" w:rsidRPr="00C054E0">
        <w:rPr>
          <w:b/>
          <w:lang w:val="es-AR"/>
        </w:rPr>
        <w:t xml:space="preserve"> -2</w:t>
      </w:r>
      <w:r w:rsidR="004E7E13">
        <w:rPr>
          <w:b/>
          <w:lang w:val="es-AR"/>
        </w:rPr>
        <w:t>,</w:t>
      </w:r>
      <w:r w:rsidR="002D1761" w:rsidRPr="00C054E0">
        <w:rPr>
          <w:b/>
          <w:lang w:val="es-AR"/>
        </w:rPr>
        <w:t>2%</w:t>
      </w:r>
      <w:r w:rsidR="002D1761" w:rsidRPr="00C054E0">
        <w:rPr>
          <w:lang w:val="es-AR"/>
        </w:rPr>
        <w:t xml:space="preserve">. </w:t>
      </w:r>
      <w:r w:rsidRPr="00C054E0">
        <w:rPr>
          <w:lang w:val="es-AR"/>
        </w:rPr>
        <w:t>Todos los segmentos están mostrando un cierto nivel de descenso</w:t>
      </w:r>
      <w:r w:rsidR="002D1761" w:rsidRPr="00C054E0">
        <w:rPr>
          <w:lang w:val="es-AR"/>
        </w:rPr>
        <w:t xml:space="preserve">: </w:t>
      </w:r>
      <w:r w:rsidRPr="00C054E0">
        <w:rPr>
          <w:lang w:val="es-AR"/>
        </w:rPr>
        <w:t>las redes televisivas en ingl</w:t>
      </w:r>
      <w:r>
        <w:rPr>
          <w:lang w:val="es-AR"/>
        </w:rPr>
        <w:t xml:space="preserve">és </w:t>
      </w:r>
      <w:r w:rsidR="002D1761" w:rsidRPr="00C054E0">
        <w:rPr>
          <w:lang w:val="es-AR"/>
        </w:rPr>
        <w:t>(-3</w:t>
      </w:r>
      <w:r w:rsidR="004E7E13">
        <w:rPr>
          <w:lang w:val="es-AR"/>
        </w:rPr>
        <w:t>,</w:t>
      </w:r>
      <w:r w:rsidR="002D1761" w:rsidRPr="00C054E0">
        <w:rPr>
          <w:lang w:val="es-AR"/>
        </w:rPr>
        <w:t xml:space="preserve">5%), </w:t>
      </w:r>
      <w:r>
        <w:rPr>
          <w:lang w:val="es-AR"/>
        </w:rPr>
        <w:t>las redes en español</w:t>
      </w:r>
      <w:r w:rsidR="002D1761" w:rsidRPr="00C054E0">
        <w:rPr>
          <w:lang w:val="es-AR"/>
        </w:rPr>
        <w:t xml:space="preserve"> (-3</w:t>
      </w:r>
      <w:r w:rsidR="004E7E13">
        <w:rPr>
          <w:lang w:val="es-AR"/>
        </w:rPr>
        <w:t>,</w:t>
      </w:r>
      <w:r w:rsidR="002D1761" w:rsidRPr="00C054E0">
        <w:rPr>
          <w:lang w:val="es-AR"/>
        </w:rPr>
        <w:t xml:space="preserve">8%) </w:t>
      </w:r>
      <w:r>
        <w:rPr>
          <w:lang w:val="es-AR"/>
        </w:rPr>
        <w:t xml:space="preserve">y las redes por cable </w:t>
      </w:r>
      <w:r w:rsidR="002D1761" w:rsidRPr="00C054E0">
        <w:rPr>
          <w:lang w:val="es-AR"/>
        </w:rPr>
        <w:t>(-1</w:t>
      </w:r>
      <w:r w:rsidR="004E7E13">
        <w:rPr>
          <w:lang w:val="es-AR"/>
        </w:rPr>
        <w:t>,</w:t>
      </w:r>
      <w:r w:rsidR="002D1761" w:rsidRPr="00C054E0">
        <w:rPr>
          <w:lang w:val="es-AR"/>
        </w:rPr>
        <w:t xml:space="preserve">3%). </w:t>
      </w:r>
    </w:p>
    <w:p w14:paraId="29358DC0" w14:textId="5BFDB00D" w:rsidR="00E7155D" w:rsidRPr="00E7155D" w:rsidRDefault="00C054E0" w:rsidP="00805E69">
      <w:pPr>
        <w:spacing w:after="0" w:line="240" w:lineRule="auto"/>
        <w:jc w:val="both"/>
        <w:rPr>
          <w:lang w:val="es-AR"/>
        </w:rPr>
      </w:pPr>
      <w:r w:rsidRPr="00E7155D">
        <w:rPr>
          <w:lang w:val="es-AR"/>
        </w:rPr>
        <w:t xml:space="preserve"> </w:t>
      </w:r>
    </w:p>
    <w:p w14:paraId="44A8B257" w14:textId="40C0DF6F" w:rsidR="002D1761" w:rsidRPr="00C054E0" w:rsidRDefault="00C054E0" w:rsidP="00805E69">
      <w:pPr>
        <w:spacing w:after="0" w:line="240" w:lineRule="auto"/>
        <w:jc w:val="both"/>
        <w:rPr>
          <w:lang w:val="es-AR"/>
        </w:rPr>
      </w:pPr>
      <w:r w:rsidRPr="00E7155D">
        <w:rPr>
          <w:b/>
          <w:lang w:val="es-AR"/>
        </w:rPr>
        <w:t>El NAR para</w:t>
      </w:r>
      <w:r w:rsidR="00E7155D">
        <w:rPr>
          <w:b/>
          <w:lang w:val="es-AR"/>
        </w:rPr>
        <w:t xml:space="preserve"> </w:t>
      </w:r>
      <w:r w:rsidRPr="00E7155D">
        <w:rPr>
          <w:b/>
          <w:lang w:val="es-AR"/>
        </w:rPr>
        <w:t>las redes de ca</w:t>
      </w:r>
      <w:r w:rsidR="00E7155D">
        <w:rPr>
          <w:b/>
          <w:lang w:val="es-AR"/>
        </w:rPr>
        <w:t>ble</w:t>
      </w:r>
      <w:r w:rsidRPr="00C054E0">
        <w:rPr>
          <w:lang w:val="es-AR"/>
        </w:rPr>
        <w:t xml:space="preserve"> </w:t>
      </w:r>
      <w:r w:rsidR="00B36E34" w:rsidRPr="00C054E0">
        <w:rPr>
          <w:lang w:val="es-AR"/>
        </w:rPr>
        <w:t>creció</w:t>
      </w:r>
      <w:r w:rsidRPr="00C054E0">
        <w:rPr>
          <w:lang w:val="es-AR"/>
        </w:rPr>
        <w:t xml:space="preserve"> en promedio +6% por año entre 2010 y 2013. </w:t>
      </w:r>
      <w:r>
        <w:rPr>
          <w:lang w:val="es-AR"/>
        </w:rPr>
        <w:t xml:space="preserve">Luego el crecimiento tuvo una desaceleración de +1% a +2% entre 2014 y 2016, con algunos trimestres negativos. </w:t>
      </w:r>
      <w:r w:rsidRPr="00C054E0">
        <w:rPr>
          <w:b/>
          <w:lang w:val="es-AR"/>
        </w:rPr>
        <w:t xml:space="preserve">Este año (2017) fue el primer año donde se vio un crecimiento negativo en </w:t>
      </w:r>
      <w:r w:rsidRPr="00C054E0">
        <w:rPr>
          <w:b/>
          <w:i/>
          <w:lang w:val="es-AR"/>
        </w:rPr>
        <w:t>todos</w:t>
      </w:r>
      <w:r w:rsidRPr="00C054E0">
        <w:rPr>
          <w:b/>
          <w:lang w:val="es-AR"/>
        </w:rPr>
        <w:t xml:space="preserve"> los trimestres</w:t>
      </w:r>
      <w:r>
        <w:rPr>
          <w:b/>
          <w:lang w:val="es-AR"/>
        </w:rPr>
        <w:t xml:space="preserve">. </w:t>
      </w:r>
      <w:r>
        <w:rPr>
          <w:lang w:val="es-AR"/>
        </w:rPr>
        <w:t>Las redes de ca</w:t>
      </w:r>
      <w:r w:rsidR="00E7155D">
        <w:rPr>
          <w:lang w:val="es-AR"/>
        </w:rPr>
        <w:t>ble</w:t>
      </w:r>
      <w:r>
        <w:rPr>
          <w:lang w:val="es-AR"/>
        </w:rPr>
        <w:t xml:space="preserve"> solían beneficiarse del crecimiento org</w:t>
      </w:r>
      <w:r w:rsidR="00E7155D">
        <w:rPr>
          <w:lang w:val="es-AR"/>
        </w:rPr>
        <w:t>á</w:t>
      </w:r>
      <w:r>
        <w:rPr>
          <w:lang w:val="es-AR"/>
        </w:rPr>
        <w:t xml:space="preserve">nico ya que conseguían audiencia de las redes abiertas, llegando a más hogares cada año a través de las suscripciones al cable y satelitales. Ahora ambos impulsores están fuera de juego ya que el desempeño de la audiencia es solo </w:t>
      </w:r>
      <w:r w:rsidR="004E7E13">
        <w:rPr>
          <w:lang w:val="es-AR"/>
        </w:rPr>
        <w:t xml:space="preserve">un poco </w:t>
      </w:r>
      <w:r>
        <w:rPr>
          <w:lang w:val="es-AR"/>
        </w:rPr>
        <w:t xml:space="preserve">mejor que en las redes abiertas </w:t>
      </w:r>
      <w:r w:rsidR="004E7E13">
        <w:rPr>
          <w:lang w:val="es-AR"/>
        </w:rPr>
        <w:t>para</w:t>
      </w:r>
      <w:r>
        <w:rPr>
          <w:lang w:val="es-AR"/>
        </w:rPr>
        <w:t xml:space="preserve"> la mayoría de los trimestres, y el alcance de muchas redes se ve obstaculizado por el crecimiento del “cord cutting”</w:t>
      </w:r>
      <w:r w:rsidR="004E7E13">
        <w:rPr>
          <w:lang w:val="es-AR"/>
        </w:rPr>
        <w:t>. L</w:t>
      </w:r>
      <w:r w:rsidR="002A1D4D">
        <w:rPr>
          <w:lang w:val="es-AR"/>
        </w:rPr>
        <w:t>os distribuidores de v</w:t>
      </w:r>
      <w:r w:rsidR="004E7E13">
        <w:rPr>
          <w:lang w:val="es-AR"/>
        </w:rPr>
        <w:t>í</w:t>
      </w:r>
      <w:r w:rsidR="002A1D4D">
        <w:rPr>
          <w:lang w:val="es-AR"/>
        </w:rPr>
        <w:t xml:space="preserve">deo multicanal perdieron casi un millón de suscriptores tan solo en el segundo trimestre del 2017 –la peor pérdida trimestral para la industria del cable y la industria satelital. </w:t>
      </w:r>
      <w:r w:rsidR="002A1D4D">
        <w:rPr>
          <w:b/>
          <w:lang w:val="es-AR"/>
        </w:rPr>
        <w:t>Ahora MAGNA prevé que 2</w:t>
      </w:r>
      <w:r w:rsidR="007E35DF">
        <w:rPr>
          <w:b/>
          <w:lang w:val="es-AR"/>
        </w:rPr>
        <w:t>.</w:t>
      </w:r>
      <w:r w:rsidR="002A1D4D">
        <w:rPr>
          <w:b/>
          <w:lang w:val="es-AR"/>
        </w:rPr>
        <w:t>6 millones de suscriptores a</w:t>
      </w:r>
      <w:r w:rsidR="004E7E13">
        <w:rPr>
          <w:b/>
          <w:lang w:val="es-AR"/>
        </w:rPr>
        <w:t xml:space="preserve"> lo servicios</w:t>
      </w:r>
      <w:r w:rsidR="002A1D4D">
        <w:rPr>
          <w:b/>
          <w:lang w:val="es-AR"/>
        </w:rPr>
        <w:t xml:space="preserve"> MVPD “corten el cable” en 2017. </w:t>
      </w:r>
      <w:r w:rsidR="002A1D4D">
        <w:rPr>
          <w:lang w:val="es-AR"/>
        </w:rPr>
        <w:t xml:space="preserve">Para fines de 2017 se estima que habrá 29 millones de hogares que opten por ser “Cord Cutters” y “Cord Nevers” (principalmente hogares con jóvenes que </w:t>
      </w:r>
      <w:r w:rsidR="002A1D4D">
        <w:rPr>
          <w:i/>
          <w:lang w:val="es-AR"/>
        </w:rPr>
        <w:t>nunca</w:t>
      </w:r>
      <w:r w:rsidR="002A1D4D">
        <w:rPr>
          <w:lang w:val="es-AR"/>
        </w:rPr>
        <w:t xml:space="preserve"> se suscribieron a TV por cable o TV satelital) de los aproximadamente 110 millones de hogares que miran televisión. La penetración de MVPD en los hogares de EEUU se mantuvo en 81% a mediados de 2017, con un descenso desde el 90% registrado hace seis años. Con este ritmo de descenso, tendrá una caída al 63% para 2022, es decir 77 millones de hogares o 17</w:t>
      </w:r>
      <w:r w:rsidR="00E7155D">
        <w:rPr>
          <w:lang w:val="es-AR"/>
        </w:rPr>
        <w:t xml:space="preserve"> millones menos que hoy. </w:t>
      </w:r>
      <w:r w:rsidR="002A1D4D">
        <w:rPr>
          <w:lang w:val="es-AR"/>
        </w:rPr>
        <w:t xml:space="preserve">  </w:t>
      </w:r>
      <w:r>
        <w:rPr>
          <w:lang w:val="es-AR"/>
        </w:rPr>
        <w:t xml:space="preserve">  </w:t>
      </w:r>
    </w:p>
    <w:p w14:paraId="00E0D439" w14:textId="77777777" w:rsidR="007074A8" w:rsidRPr="00C054E0" w:rsidRDefault="007074A8" w:rsidP="00805E69">
      <w:pPr>
        <w:spacing w:after="0" w:line="240" w:lineRule="auto"/>
        <w:jc w:val="both"/>
        <w:rPr>
          <w:lang w:val="es-AR"/>
        </w:rPr>
      </w:pPr>
    </w:p>
    <w:p w14:paraId="4C3A44F5" w14:textId="335B386D" w:rsidR="007074A8" w:rsidRPr="006C4441" w:rsidRDefault="006C4441" w:rsidP="00805E69">
      <w:pPr>
        <w:spacing w:after="0" w:line="240" w:lineRule="auto"/>
        <w:jc w:val="both"/>
        <w:rPr>
          <w:lang w:val="es-AR"/>
        </w:rPr>
      </w:pPr>
      <w:r w:rsidRPr="006C4441">
        <w:rPr>
          <w:lang w:val="es-AR"/>
        </w:rPr>
        <w:t xml:space="preserve">Mientras tanto, </w:t>
      </w:r>
      <w:r w:rsidRPr="006C4441">
        <w:rPr>
          <w:b/>
          <w:lang w:val="es-AR"/>
        </w:rPr>
        <w:t>la televisi</w:t>
      </w:r>
      <w:r>
        <w:rPr>
          <w:b/>
          <w:lang w:val="es-AR"/>
        </w:rPr>
        <w:t>ó</w:t>
      </w:r>
      <w:r w:rsidRPr="006C4441">
        <w:rPr>
          <w:b/>
          <w:lang w:val="es-AR"/>
        </w:rPr>
        <w:t>n local</w:t>
      </w:r>
      <w:r w:rsidRPr="006C4441">
        <w:rPr>
          <w:lang w:val="es-AR"/>
        </w:rPr>
        <w:t xml:space="preserve"> disminuy</w:t>
      </w:r>
      <w:r>
        <w:rPr>
          <w:lang w:val="es-AR"/>
        </w:rPr>
        <w:t xml:space="preserve">ó un estimado de -4,9% (excluyendo los eventos cíclicos) en la totalidad del 2017, comparado con -2% del año anterior. Las ventas publicitarias en cable local tuvieron un desempeño ligeramente mejor (-2,3%) que las estaciones locales (-5,8%). Si tomamos en cuenta la falta de ingresos políticos en 2017, la caída de los ingresos nominales estuvo en </w:t>
      </w:r>
      <w:r w:rsidR="004A1B0F">
        <w:rPr>
          <w:lang w:val="es-AR"/>
        </w:rPr>
        <w:t>-</w:t>
      </w:r>
      <w:r>
        <w:rPr>
          <w:lang w:val="es-AR"/>
        </w:rPr>
        <w:t>15%. Los inhibidores son varios: problemas con el rating, menor poder de fijación de precios e importantes recortes en la industria automotriz, ya que el mercado automo</w:t>
      </w:r>
      <w:r w:rsidR="004E7E13">
        <w:rPr>
          <w:lang w:val="es-AR"/>
        </w:rPr>
        <w:t>tor</w:t>
      </w:r>
      <w:r>
        <w:rPr>
          <w:lang w:val="es-AR"/>
        </w:rPr>
        <w:t xml:space="preserve"> ahora se está desacelerando en los EEUU luego de años de fuerte crecimiento. El tercer factor podría ser temporal, pero la TV local también sufre un</w:t>
      </w:r>
      <w:r w:rsidR="004E7E13">
        <w:rPr>
          <w:lang w:val="es-AR"/>
        </w:rPr>
        <w:t xml:space="preserve"> debilitamiento </w:t>
      </w:r>
      <w:r>
        <w:rPr>
          <w:lang w:val="es-AR"/>
        </w:rPr>
        <w:t xml:space="preserve">general por parte de los comercios locales (concesionarias de automóviles pero también retailers y restaurantes). Las ventas de cable local (el menor segmento de la publicidad de televisión local) se beneficia de las mejoras en las </w:t>
      </w:r>
      <w:r>
        <w:rPr>
          <w:lang w:val="es-AR"/>
        </w:rPr>
        <w:lastRenderedPageBreak/>
        <w:t xml:space="preserve">oportunidades de targeting y “avanzadas” campañas basadas en audiencias, pero también podrían sufrir la reducción del alcance de algunas redes debido al “cord cutting”.  </w:t>
      </w:r>
    </w:p>
    <w:p w14:paraId="3C234849" w14:textId="77777777" w:rsidR="006C4441" w:rsidRPr="006C4441" w:rsidRDefault="006C4441" w:rsidP="00805E69">
      <w:pPr>
        <w:spacing w:after="0" w:line="240" w:lineRule="auto"/>
        <w:jc w:val="both"/>
        <w:rPr>
          <w:lang w:val="es-AR"/>
        </w:rPr>
      </w:pPr>
    </w:p>
    <w:p w14:paraId="3098DAC2" w14:textId="77777777" w:rsidR="006C4441" w:rsidRPr="006C4441" w:rsidRDefault="006C4441" w:rsidP="00805E69">
      <w:pPr>
        <w:spacing w:after="0" w:line="240" w:lineRule="auto"/>
        <w:jc w:val="both"/>
        <w:rPr>
          <w:lang w:val="es-AR"/>
        </w:rPr>
      </w:pPr>
    </w:p>
    <w:p w14:paraId="0B82B232" w14:textId="10469E1A" w:rsidR="002D1761" w:rsidRPr="006C4441" w:rsidRDefault="006C4441" w:rsidP="00805E69">
      <w:pPr>
        <w:spacing w:after="0" w:line="240" w:lineRule="auto"/>
        <w:jc w:val="both"/>
        <w:rPr>
          <w:color w:val="FF0000"/>
          <w:lang w:val="es-AR"/>
        </w:rPr>
      </w:pPr>
      <w:r w:rsidRPr="006C4441">
        <w:rPr>
          <w:b/>
          <w:lang w:val="es-AR"/>
        </w:rPr>
        <w:t xml:space="preserve">La </w:t>
      </w:r>
      <w:r>
        <w:rPr>
          <w:b/>
          <w:lang w:val="es-AR"/>
        </w:rPr>
        <w:t>televisió</w:t>
      </w:r>
      <w:r w:rsidRPr="006C4441">
        <w:rPr>
          <w:b/>
          <w:lang w:val="es-AR"/>
        </w:rPr>
        <w:t xml:space="preserve">n siempre se </w:t>
      </w:r>
      <w:r w:rsidR="004E7E13">
        <w:rPr>
          <w:b/>
          <w:lang w:val="es-AR"/>
        </w:rPr>
        <w:t xml:space="preserve">ve beneficiada por </w:t>
      </w:r>
      <w:r w:rsidRPr="006C4441">
        <w:rPr>
          <w:b/>
          <w:lang w:val="es-AR"/>
        </w:rPr>
        <w:t>un importante impuls</w:t>
      </w:r>
      <w:r w:rsidR="004E7E13">
        <w:rPr>
          <w:b/>
          <w:lang w:val="es-AR"/>
        </w:rPr>
        <w:t>o</w:t>
      </w:r>
      <w:r w:rsidRPr="006C4441">
        <w:rPr>
          <w:b/>
          <w:lang w:val="es-AR"/>
        </w:rPr>
        <w:t xml:space="preserve"> en los años pares, pero las expectativas son ambiguas para el 2018.</w:t>
      </w:r>
      <w:r w:rsidR="002D1761" w:rsidRPr="006C4441">
        <w:rPr>
          <w:lang w:val="es-AR"/>
        </w:rPr>
        <w:t xml:space="preserve"> </w:t>
      </w:r>
      <w:r w:rsidRPr="006C4441">
        <w:rPr>
          <w:lang w:val="es-AR"/>
        </w:rPr>
        <w:t>L</w:t>
      </w:r>
      <w:r w:rsidR="004E7E13">
        <w:rPr>
          <w:lang w:val="es-AR"/>
        </w:rPr>
        <w:t xml:space="preserve">os </w:t>
      </w:r>
      <w:r w:rsidRPr="006C4441">
        <w:rPr>
          <w:lang w:val="es-AR"/>
        </w:rPr>
        <w:t>primer</w:t>
      </w:r>
      <w:r w:rsidR="004E7E13">
        <w:rPr>
          <w:lang w:val="es-AR"/>
        </w:rPr>
        <w:t>o</w:t>
      </w:r>
      <w:r w:rsidRPr="006C4441">
        <w:rPr>
          <w:lang w:val="es-AR"/>
        </w:rPr>
        <w:t xml:space="preserve">s </w:t>
      </w:r>
      <w:r w:rsidR="004E7E13">
        <w:rPr>
          <w:lang w:val="es-AR"/>
        </w:rPr>
        <w:t xml:space="preserve">indicios marcan </w:t>
      </w:r>
      <w:r w:rsidRPr="006C4441">
        <w:rPr>
          <w:lang w:val="es-AR"/>
        </w:rPr>
        <w:t>que la publicidad política ser</w:t>
      </w:r>
      <w:r>
        <w:rPr>
          <w:lang w:val="es-AR"/>
        </w:rPr>
        <w:t>á</w:t>
      </w:r>
      <w:r w:rsidRPr="006C4441">
        <w:rPr>
          <w:lang w:val="es-AR"/>
        </w:rPr>
        <w:t xml:space="preserve"> fuerte en 2018 </w:t>
      </w:r>
      <w:r>
        <w:rPr>
          <w:lang w:val="es-AR"/>
        </w:rPr>
        <w:t>por el álgi</w:t>
      </w:r>
      <w:r w:rsidRPr="009C6DC2">
        <w:rPr>
          <w:lang w:val="es-AR"/>
        </w:rPr>
        <w:t xml:space="preserve">do entorno político. MAGNA prevé crecimientos de </w:t>
      </w:r>
      <w:r w:rsidR="002D1761" w:rsidRPr="009C6DC2">
        <w:rPr>
          <w:lang w:val="es-AR"/>
        </w:rPr>
        <w:t xml:space="preserve">+18% vs </w:t>
      </w:r>
      <w:r w:rsidRPr="009C6DC2">
        <w:rPr>
          <w:lang w:val="es-AR"/>
        </w:rPr>
        <w:t>las intermedias del</w:t>
      </w:r>
      <w:r w:rsidR="002D1761" w:rsidRPr="009C6DC2">
        <w:rPr>
          <w:lang w:val="es-AR"/>
        </w:rPr>
        <w:t xml:space="preserve"> 2014</w:t>
      </w:r>
      <w:r w:rsidRPr="009C6DC2">
        <w:rPr>
          <w:lang w:val="es-AR"/>
        </w:rPr>
        <w:t>, alcanzando los 2</w:t>
      </w:r>
      <w:r w:rsidR="009C6DC2" w:rsidRPr="009C6DC2">
        <w:rPr>
          <w:lang w:val="es-AR"/>
        </w:rPr>
        <w:t>.</w:t>
      </w:r>
      <w:r w:rsidRPr="009C6DC2">
        <w:rPr>
          <w:lang w:val="es-AR"/>
        </w:rPr>
        <w:t>9 mil millones de dólares.</w:t>
      </w:r>
      <w:r w:rsidR="002D1761" w:rsidRPr="006C4441">
        <w:rPr>
          <w:lang w:val="es-AR"/>
        </w:rPr>
        <w:t xml:space="preserve"> </w:t>
      </w:r>
    </w:p>
    <w:p w14:paraId="727448F5" w14:textId="77777777" w:rsidR="007074A8" w:rsidRPr="006C4441" w:rsidRDefault="007074A8" w:rsidP="00805E69">
      <w:pPr>
        <w:spacing w:after="0" w:line="240" w:lineRule="auto"/>
        <w:jc w:val="both"/>
        <w:rPr>
          <w:lang w:val="es-AR"/>
        </w:rPr>
      </w:pPr>
    </w:p>
    <w:p w14:paraId="721FC38E" w14:textId="24C6699E" w:rsidR="007074A8" w:rsidRPr="002E0F21" w:rsidRDefault="002E0F21" w:rsidP="00805E69">
      <w:pPr>
        <w:spacing w:after="0" w:line="240" w:lineRule="auto"/>
        <w:jc w:val="both"/>
        <w:rPr>
          <w:lang w:val="es-AR"/>
        </w:rPr>
      </w:pPr>
      <w:r w:rsidRPr="002E0F21">
        <w:rPr>
          <w:lang w:val="es-AR"/>
        </w:rPr>
        <w:t>Se prevé que l</w:t>
      </w:r>
      <w:r w:rsidR="006C4441" w:rsidRPr="002E0F21">
        <w:rPr>
          <w:lang w:val="es-AR"/>
        </w:rPr>
        <w:t xml:space="preserve">os </w:t>
      </w:r>
      <w:r w:rsidR="006C4441" w:rsidRPr="002E0F21">
        <w:rPr>
          <w:b/>
          <w:lang w:val="es-AR"/>
        </w:rPr>
        <w:t>Juegos Ol</w:t>
      </w:r>
      <w:r w:rsidRPr="002E0F21">
        <w:rPr>
          <w:b/>
          <w:lang w:val="es-AR"/>
        </w:rPr>
        <w:t>ímpicos de invierno</w:t>
      </w:r>
      <w:r w:rsidRPr="002E0F21">
        <w:rPr>
          <w:lang w:val="es-AR"/>
        </w:rPr>
        <w:t xml:space="preserve"> 2018 en Corea del Sur generar</w:t>
      </w:r>
      <w:r>
        <w:rPr>
          <w:lang w:val="es-AR"/>
        </w:rPr>
        <w:t xml:space="preserve">án casi un +2% más en inversión publicitaria en comparación con los </w:t>
      </w:r>
      <w:r w:rsidR="00A7498C">
        <w:rPr>
          <w:lang w:val="es-AR"/>
        </w:rPr>
        <w:t>J</w:t>
      </w:r>
      <w:r>
        <w:rPr>
          <w:lang w:val="es-AR"/>
        </w:rPr>
        <w:t>uegos</w:t>
      </w:r>
      <w:r w:rsidR="00A7498C">
        <w:rPr>
          <w:lang w:val="es-AR"/>
        </w:rPr>
        <w:t xml:space="preserve"> Olímpicos de </w:t>
      </w:r>
      <w:r>
        <w:rPr>
          <w:lang w:val="es-AR"/>
        </w:rPr>
        <w:t xml:space="preserve">Sochi </w:t>
      </w:r>
      <w:r w:rsidR="00A7498C">
        <w:rPr>
          <w:lang w:val="es-AR"/>
        </w:rPr>
        <w:t>en</w:t>
      </w:r>
      <w:r>
        <w:rPr>
          <w:lang w:val="es-AR"/>
        </w:rPr>
        <w:t xml:space="preserve"> Rusia hace cuatro años. Los fuertes precios se compensan por </w:t>
      </w:r>
      <w:r w:rsidR="00A7498C">
        <w:rPr>
          <w:lang w:val="es-AR"/>
        </w:rPr>
        <w:t>los contra</w:t>
      </w:r>
      <w:r w:rsidR="004E7E13">
        <w:rPr>
          <w:lang w:val="es-AR"/>
        </w:rPr>
        <w:t>tiempos ocasionados por ejemplo</w:t>
      </w:r>
      <w:r w:rsidR="00A7498C">
        <w:rPr>
          <w:lang w:val="es-AR"/>
        </w:rPr>
        <w:t xml:space="preserve"> por </w:t>
      </w:r>
      <w:r>
        <w:rPr>
          <w:lang w:val="es-AR"/>
        </w:rPr>
        <w:t>la ausencia de jugadores de</w:t>
      </w:r>
      <w:r w:rsidR="004E7E13">
        <w:rPr>
          <w:lang w:val="es-AR"/>
        </w:rPr>
        <w:t xml:space="preserve"> la </w:t>
      </w:r>
      <w:r>
        <w:rPr>
          <w:lang w:val="es-AR"/>
        </w:rPr>
        <w:t xml:space="preserve">NHL en el torneo de hockey. No obstante, el evento se mantiene popular y logra altos ratings finalizando el invierno y generando aproximadamente </w:t>
      </w:r>
      <w:r w:rsidRPr="002E0F21">
        <w:rPr>
          <w:lang w:val="es-AR"/>
        </w:rPr>
        <w:t>640 millones de dó</w:t>
      </w:r>
      <w:r>
        <w:rPr>
          <w:lang w:val="es-AR"/>
        </w:rPr>
        <w:t>la</w:t>
      </w:r>
      <w:r w:rsidRPr="002E0F21">
        <w:rPr>
          <w:lang w:val="es-AR"/>
        </w:rPr>
        <w:t>res en ingresos publicitarios</w:t>
      </w:r>
      <w:r>
        <w:rPr>
          <w:lang w:val="es-AR"/>
        </w:rPr>
        <w:t xml:space="preserve">. La </w:t>
      </w:r>
      <w:r w:rsidRPr="002E0F21">
        <w:rPr>
          <w:b/>
          <w:lang w:val="es-AR"/>
        </w:rPr>
        <w:t xml:space="preserve">Copa de Mundo </w:t>
      </w:r>
      <w:r>
        <w:rPr>
          <w:lang w:val="es-AR"/>
        </w:rPr>
        <w:t xml:space="preserve">de la FIFA 2018 que se celebrará en Rusia generará menos ingresos incrementales que los previstos anteriormente debido a que la selección de los EEUU no logró clasificarse. </w:t>
      </w:r>
      <w:r w:rsidR="002D1761" w:rsidRPr="002E0F21">
        <w:rPr>
          <w:lang w:val="es-AR"/>
        </w:rPr>
        <w:t xml:space="preserve"> </w:t>
      </w:r>
    </w:p>
    <w:p w14:paraId="16B70CA7" w14:textId="77777777" w:rsidR="007074A8" w:rsidRPr="002E0F21" w:rsidRDefault="007074A8" w:rsidP="00805E69">
      <w:pPr>
        <w:spacing w:after="0" w:line="240" w:lineRule="auto"/>
        <w:jc w:val="both"/>
        <w:rPr>
          <w:lang w:val="es-AR"/>
        </w:rPr>
      </w:pPr>
    </w:p>
    <w:p w14:paraId="24D7120E" w14:textId="4B253AB2" w:rsidR="00954516" w:rsidRDefault="00954516" w:rsidP="00805E69">
      <w:pPr>
        <w:spacing w:after="0" w:line="240" w:lineRule="auto"/>
        <w:jc w:val="both"/>
        <w:rPr>
          <w:lang w:val="es-AR"/>
        </w:rPr>
      </w:pPr>
      <w:r w:rsidRPr="00954516">
        <w:rPr>
          <w:lang w:val="es-AR"/>
        </w:rPr>
        <w:t>No obstante, el efecto está mitigado por el hecho de que la mayor</w:t>
      </w:r>
      <w:r>
        <w:rPr>
          <w:lang w:val="es-AR"/>
        </w:rPr>
        <w:t>ía de los dólares publicitarios fluyen a través de l</w:t>
      </w:r>
      <w:r w:rsidR="000067EE">
        <w:rPr>
          <w:lang w:val="es-AR"/>
        </w:rPr>
        <w:t>as redes en español,</w:t>
      </w:r>
      <w:r w:rsidR="003553C9">
        <w:rPr>
          <w:lang w:val="es-AR"/>
        </w:rPr>
        <w:t xml:space="preserve"> y el inter</w:t>
      </w:r>
      <w:r>
        <w:rPr>
          <w:lang w:val="es-AR"/>
        </w:rPr>
        <w:t xml:space="preserve">és de los televidentes de habla hispana por </w:t>
      </w:r>
      <w:r w:rsidR="000067EE">
        <w:rPr>
          <w:lang w:val="es-AR"/>
        </w:rPr>
        <w:t>e</w:t>
      </w:r>
      <w:r>
        <w:rPr>
          <w:lang w:val="es-AR"/>
        </w:rPr>
        <w:t xml:space="preserve">ste evento por lo general se extiende mucho más allá del equipo de los EEUU. </w:t>
      </w:r>
      <w:r w:rsidR="003553C9">
        <w:rPr>
          <w:lang w:val="es-AR"/>
        </w:rPr>
        <w:t>Sin embargo, se prevé</w:t>
      </w:r>
      <w:r>
        <w:rPr>
          <w:lang w:val="es-AR"/>
        </w:rPr>
        <w:t xml:space="preserve"> que los ingresos publicitarios disminuyan </w:t>
      </w:r>
      <w:r w:rsidRPr="003553C9">
        <w:rPr>
          <w:b/>
          <w:lang w:val="es-AR"/>
        </w:rPr>
        <w:t>-11% vs 2014, alcanzando aproximadamente los 200 millones de dólares</w:t>
      </w:r>
      <w:r>
        <w:rPr>
          <w:lang w:val="es-AR"/>
        </w:rPr>
        <w:t xml:space="preserve">: -5% para las redes en español (que aún captan la mayor parte de los dólares incrementales) y un masivo -30% para las redes en inglés, lo cual se ve fuertemente afectado por la ausencia del equipo de los EEUU.  El mayor inhibidor </w:t>
      </w:r>
      <w:r w:rsidR="003553C9">
        <w:rPr>
          <w:lang w:val="es-AR"/>
        </w:rPr>
        <w:t>del lado español será sin duda la diferencia horaria.  Mientras que la copa del mundo del 2014 se celebró en Brasil con una zona horaria cercana a la de los EEUU, ahora habrá al menos una diferencia horaria de 8 horas entre los EEUU y las ciudades rusas donde se jugarán los partidos.</w:t>
      </w:r>
    </w:p>
    <w:p w14:paraId="24B5D70A" w14:textId="26B4DBA8" w:rsidR="003553C9" w:rsidRPr="00954516" w:rsidRDefault="003553C9" w:rsidP="00805E69">
      <w:pPr>
        <w:spacing w:after="0" w:line="240" w:lineRule="auto"/>
        <w:jc w:val="both"/>
        <w:rPr>
          <w:lang w:val="es-AR"/>
        </w:rPr>
      </w:pPr>
      <w:r>
        <w:rPr>
          <w:lang w:val="es-AR"/>
        </w:rPr>
        <w:t xml:space="preserve">A pesar de ser un impulsor deportivo ligeramente menos prometedor que lo esperado al principio, los ingresos televisivos se recuperarán en 2018.  </w:t>
      </w:r>
      <w:r w:rsidRPr="003553C9">
        <w:rPr>
          <w:b/>
          <w:lang w:val="es-AR"/>
        </w:rPr>
        <w:t>Las ventas publicitarias en la televisi</w:t>
      </w:r>
      <w:r>
        <w:rPr>
          <w:b/>
          <w:lang w:val="es-AR"/>
        </w:rPr>
        <w:t>ón nacional se mantendr</w:t>
      </w:r>
      <w:r w:rsidRPr="003553C9">
        <w:rPr>
          <w:b/>
          <w:lang w:val="es-AR"/>
        </w:rPr>
        <w:t>án sin cambios (+0,2%, o -1,5% si no incluimos</w:t>
      </w:r>
      <w:r w:rsidR="000067EE">
        <w:rPr>
          <w:b/>
          <w:lang w:val="es-AR"/>
        </w:rPr>
        <w:t xml:space="preserve"> a C</w:t>
      </w:r>
      <w:r w:rsidRPr="003553C9">
        <w:rPr>
          <w:b/>
          <w:lang w:val="es-AR"/>
        </w:rPr>
        <w:t>E) y las ventas para televisión local tendrán un crecimiento del +10% (-3% si no incluimos</w:t>
      </w:r>
      <w:r w:rsidR="000067EE">
        <w:rPr>
          <w:b/>
          <w:lang w:val="es-AR"/>
        </w:rPr>
        <w:t xml:space="preserve"> a</w:t>
      </w:r>
      <w:r w:rsidRPr="003553C9">
        <w:rPr>
          <w:b/>
          <w:lang w:val="es-AR"/>
        </w:rPr>
        <w:t xml:space="preserve"> CE)</w:t>
      </w:r>
    </w:p>
    <w:p w14:paraId="7A40811A" w14:textId="77777777" w:rsidR="003C6EBE" w:rsidRDefault="003C6EBE" w:rsidP="00805E69">
      <w:pPr>
        <w:pStyle w:val="ListParagraph"/>
        <w:spacing w:line="240" w:lineRule="auto"/>
        <w:ind w:left="0"/>
        <w:contextualSpacing w:val="0"/>
        <w:jc w:val="both"/>
        <w:rPr>
          <w:lang w:val="es-AR"/>
        </w:rPr>
      </w:pPr>
    </w:p>
    <w:p w14:paraId="642742C8" w14:textId="3AEA117F" w:rsidR="002D1761" w:rsidRDefault="003553C9" w:rsidP="00805E69">
      <w:pPr>
        <w:pStyle w:val="ListParagraph"/>
        <w:spacing w:line="240" w:lineRule="auto"/>
        <w:ind w:left="0"/>
        <w:contextualSpacing w:val="0"/>
        <w:jc w:val="both"/>
        <w:rPr>
          <w:lang w:val="es-AR"/>
        </w:rPr>
      </w:pPr>
      <w:r w:rsidRPr="003553C9">
        <w:rPr>
          <w:lang w:val="es-AR"/>
        </w:rPr>
        <w:t>Otras categor</w:t>
      </w:r>
      <w:r>
        <w:rPr>
          <w:lang w:val="es-AR"/>
        </w:rPr>
        <w:t>ías de medios</w:t>
      </w:r>
      <w:r w:rsidRPr="003553C9">
        <w:rPr>
          <w:lang w:val="es-AR"/>
        </w:rPr>
        <w:t xml:space="preserve"> mostrar</w:t>
      </w:r>
      <w:r>
        <w:rPr>
          <w:lang w:val="es-AR"/>
        </w:rPr>
        <w:t xml:space="preserve">án poco o ningún crecimiento en 2018.  Se prevé que las ventas publicitarias de periódicos y revistas en papel disminuyan -17% y -16% respectivamente, y el crecimiento de las ventas publicitarias digitales de los editores no compensará el rápido descenso de </w:t>
      </w:r>
      <w:r w:rsidR="000067EE">
        <w:rPr>
          <w:lang w:val="es-AR"/>
        </w:rPr>
        <w:t>e</w:t>
      </w:r>
      <w:r>
        <w:rPr>
          <w:lang w:val="es-AR"/>
        </w:rPr>
        <w:t>ste formato.  Al combinar los formatos de papel y digital</w:t>
      </w:r>
      <w:r w:rsidR="000067EE">
        <w:rPr>
          <w:lang w:val="es-AR"/>
        </w:rPr>
        <w:t>,</w:t>
      </w:r>
      <w:r>
        <w:rPr>
          <w:lang w:val="es-AR"/>
        </w:rPr>
        <w:t xml:space="preserve"> MAGNA prevé que las ventas publicitarias de los editores (periódicos y revistas) tengan una caída de -10% en 2018, alcanzando los 22 mil millones de dólares.  </w:t>
      </w:r>
    </w:p>
    <w:p w14:paraId="28A867AC" w14:textId="0908F738" w:rsidR="003553C9" w:rsidRDefault="003553C9" w:rsidP="00805E69">
      <w:pPr>
        <w:pStyle w:val="ListParagraph"/>
        <w:spacing w:line="240" w:lineRule="auto"/>
        <w:ind w:left="0"/>
        <w:contextualSpacing w:val="0"/>
        <w:jc w:val="both"/>
        <w:rPr>
          <w:lang w:val="es-AR"/>
        </w:rPr>
      </w:pPr>
      <w:r w:rsidRPr="003C6EBE">
        <w:rPr>
          <w:b/>
          <w:lang w:val="es-AR"/>
        </w:rPr>
        <w:t>Las ventas publicitarias en radio</w:t>
      </w:r>
      <w:r>
        <w:rPr>
          <w:lang w:val="es-AR"/>
        </w:rPr>
        <w:t xml:space="preserve"> lineal tendrán una caída de </w:t>
      </w:r>
      <w:r w:rsidRPr="003C6EBE">
        <w:rPr>
          <w:b/>
          <w:lang w:val="es-AR"/>
        </w:rPr>
        <w:t xml:space="preserve">-4% </w:t>
      </w:r>
      <w:r w:rsidRPr="009C6DC2">
        <w:rPr>
          <w:b/>
          <w:lang w:val="es-AR"/>
        </w:rPr>
        <w:t>en 2018, alcanzando los 15</w:t>
      </w:r>
      <w:r w:rsidR="009C6DC2" w:rsidRPr="009C6DC2">
        <w:rPr>
          <w:b/>
          <w:lang w:val="es-AR"/>
        </w:rPr>
        <w:t>.</w:t>
      </w:r>
      <w:r w:rsidRPr="009C6DC2">
        <w:rPr>
          <w:b/>
          <w:lang w:val="es-AR"/>
        </w:rPr>
        <w:t>8 mil millones de dólares</w:t>
      </w:r>
      <w:r w:rsidRPr="009C6DC2">
        <w:rPr>
          <w:lang w:val="es-AR"/>
        </w:rPr>
        <w:t xml:space="preserve"> debido a la débil dinámica en la fijación de precios.  Las ventas publicitarias digitales tendrán un crecimiento superior al +8%, alcanzando los 2</w:t>
      </w:r>
      <w:r w:rsidR="009C6DC2" w:rsidRPr="009C6DC2">
        <w:rPr>
          <w:lang w:val="es-AR"/>
        </w:rPr>
        <w:t>.</w:t>
      </w:r>
      <w:r w:rsidRPr="009C6DC2">
        <w:rPr>
          <w:lang w:val="es-AR"/>
        </w:rPr>
        <w:t xml:space="preserve">7 mil millones de dólares, pero que no serán suficientes para hacer crecer el total de la </w:t>
      </w:r>
      <w:r w:rsidRPr="009C6DC2">
        <w:rPr>
          <w:lang w:val="es-AR"/>
        </w:rPr>
        <w:lastRenderedPageBreak/>
        <w:t>publicidad radial</w:t>
      </w:r>
      <w:r>
        <w:rPr>
          <w:lang w:val="es-AR"/>
        </w:rPr>
        <w:t xml:space="preserve">.  </w:t>
      </w:r>
      <w:r w:rsidR="003C6EBE">
        <w:rPr>
          <w:lang w:val="es-AR"/>
        </w:rPr>
        <w:t xml:space="preserve">Al  combinar </w:t>
      </w:r>
      <w:r>
        <w:rPr>
          <w:lang w:val="es-AR"/>
        </w:rPr>
        <w:t xml:space="preserve"> broadcast y digital</w:t>
      </w:r>
      <w:r w:rsidR="003C6EBE">
        <w:rPr>
          <w:lang w:val="es-AR"/>
        </w:rPr>
        <w:t>,  emisoras radiales y</w:t>
      </w:r>
      <w:r>
        <w:rPr>
          <w:lang w:val="es-AR"/>
        </w:rPr>
        <w:t xml:space="preserve"> reproductores digitales</w:t>
      </w:r>
      <w:r w:rsidR="003C6EBE">
        <w:rPr>
          <w:lang w:val="es-AR"/>
        </w:rPr>
        <w:t xml:space="preserve"> de streaming, las ventas publicitarias tendrán una caída de -2,4%.</w:t>
      </w:r>
    </w:p>
    <w:p w14:paraId="17A5AA99" w14:textId="675B57FC" w:rsidR="003C6EBE" w:rsidRPr="003C6EBE" w:rsidRDefault="003C6EBE" w:rsidP="00805E69">
      <w:pPr>
        <w:pStyle w:val="ListParagraph"/>
        <w:spacing w:line="240" w:lineRule="auto"/>
        <w:ind w:left="0"/>
        <w:contextualSpacing w:val="0"/>
        <w:jc w:val="both"/>
        <w:rPr>
          <w:lang w:val="es-AR"/>
        </w:rPr>
      </w:pPr>
      <w:r w:rsidRPr="003C6EBE">
        <w:rPr>
          <w:lang w:val="es-AR"/>
        </w:rPr>
        <w:t xml:space="preserve">Los medios </w:t>
      </w:r>
      <w:r w:rsidRPr="003C6EBE">
        <w:rPr>
          <w:b/>
          <w:lang w:val="es-AR"/>
        </w:rPr>
        <w:t xml:space="preserve">Out-of-home </w:t>
      </w:r>
      <w:r w:rsidRPr="003C6EBE">
        <w:rPr>
          <w:lang w:val="es-AR"/>
        </w:rPr>
        <w:t>mostrarán un cierto crecimiento gr</w:t>
      </w:r>
      <w:r>
        <w:rPr>
          <w:lang w:val="es-AR"/>
        </w:rPr>
        <w:t xml:space="preserve">acias a sus segmentos digitales. Las ventas publicitarias totales en OOH tendrán un crecimiento de </w:t>
      </w:r>
      <w:r w:rsidRPr="003C6EBE">
        <w:rPr>
          <w:b/>
          <w:lang w:val="es-AR"/>
        </w:rPr>
        <w:t>+2,5% alcanzando los 8 mil millones de dólares</w:t>
      </w:r>
      <w:r>
        <w:rPr>
          <w:lang w:val="es-AR"/>
        </w:rPr>
        <w:t xml:space="preserve">.  El mobiliario urbano, </w:t>
      </w:r>
      <w:r w:rsidR="000067EE">
        <w:rPr>
          <w:lang w:val="es-AR"/>
        </w:rPr>
        <w:t xml:space="preserve">de </w:t>
      </w:r>
      <w:r>
        <w:rPr>
          <w:lang w:val="es-AR"/>
        </w:rPr>
        <w:t>tránsito y los medios basados en el lugar tendrán un importante crecimiento gracias a que los nuevos inventarios digitales estarán  a disposición de los compradores de medios, mientras que el segmento Shopping se mantendrá sin cambios y el segmento de carteles en rutas (aún el mayor en tamaño</w:t>
      </w:r>
      <w:r w:rsidR="009F15B8">
        <w:rPr>
          <w:lang w:val="es-AR"/>
        </w:rPr>
        <w:t>)</w:t>
      </w:r>
      <w:r>
        <w:rPr>
          <w:lang w:val="es-AR"/>
        </w:rPr>
        <w:t xml:space="preserve"> quedará es</w:t>
      </w:r>
      <w:r w:rsidRPr="009F15B8">
        <w:rPr>
          <w:lang w:val="es-AR"/>
        </w:rPr>
        <w:t>tancado</w:t>
      </w:r>
      <w:r w:rsidR="000067EE" w:rsidRPr="009F15B8">
        <w:rPr>
          <w:lang w:val="es-AR"/>
        </w:rPr>
        <w:t>)</w:t>
      </w:r>
      <w:r w:rsidR="009F15B8" w:rsidRPr="009F15B8">
        <w:rPr>
          <w:lang w:val="es-AR"/>
        </w:rPr>
        <w:t>.</w:t>
      </w:r>
    </w:p>
    <w:p w14:paraId="4AED464D" w14:textId="77777777" w:rsidR="003553C9" w:rsidRPr="003C6EBE" w:rsidRDefault="003553C9" w:rsidP="00805E69">
      <w:pPr>
        <w:pStyle w:val="ListParagraph"/>
        <w:spacing w:line="240" w:lineRule="auto"/>
        <w:ind w:left="0"/>
        <w:contextualSpacing w:val="0"/>
        <w:jc w:val="both"/>
        <w:rPr>
          <w:lang w:val="es-AR"/>
        </w:rPr>
      </w:pPr>
    </w:p>
    <w:p w14:paraId="5139D7BC" w14:textId="61982639" w:rsidR="002D1761" w:rsidRPr="003C6EBE" w:rsidRDefault="002D1761" w:rsidP="00805E69">
      <w:pPr>
        <w:pBdr>
          <w:top w:val="single" w:sz="4" w:space="1" w:color="auto"/>
          <w:left w:val="single" w:sz="4" w:space="4" w:color="auto"/>
          <w:bottom w:val="single" w:sz="4" w:space="1" w:color="auto"/>
          <w:right w:val="single" w:sz="4" w:space="4" w:color="auto"/>
        </w:pBdr>
        <w:jc w:val="both"/>
        <w:rPr>
          <w:lang w:val="es-AR"/>
        </w:rPr>
      </w:pPr>
      <w:r w:rsidRPr="003C6EBE">
        <w:rPr>
          <w:b/>
          <w:lang w:val="es-AR"/>
        </w:rPr>
        <w:t>Vincent Létang</w:t>
      </w:r>
      <w:r w:rsidRPr="003C6EBE">
        <w:rPr>
          <w:lang w:val="es-AR"/>
        </w:rPr>
        <w:t xml:space="preserve">, EVP, Global Market Intelligence </w:t>
      </w:r>
      <w:r w:rsidR="003C6EBE">
        <w:rPr>
          <w:lang w:val="es-AR"/>
        </w:rPr>
        <w:t>de</w:t>
      </w:r>
      <w:r w:rsidRPr="003C6EBE">
        <w:rPr>
          <w:lang w:val="es-AR"/>
        </w:rPr>
        <w:t xml:space="preserve"> MAGNA, </w:t>
      </w:r>
      <w:r w:rsidR="009C6DC2">
        <w:rPr>
          <w:lang w:val="es-AR"/>
        </w:rPr>
        <w:t>sostiene</w:t>
      </w:r>
      <w:r w:rsidRPr="003C6EBE">
        <w:rPr>
          <w:lang w:val="es-AR"/>
        </w:rPr>
        <w:t xml:space="preserve">: </w:t>
      </w:r>
    </w:p>
    <w:p w14:paraId="33162269" w14:textId="4B6A5626" w:rsidR="002D1761" w:rsidRPr="003C6EBE" w:rsidRDefault="00117D22" w:rsidP="00805E69">
      <w:pPr>
        <w:pBdr>
          <w:top w:val="single" w:sz="4" w:space="1" w:color="auto"/>
          <w:left w:val="single" w:sz="4" w:space="4" w:color="auto"/>
          <w:bottom w:val="single" w:sz="4" w:space="1" w:color="auto"/>
          <w:right w:val="single" w:sz="4" w:space="4" w:color="auto"/>
        </w:pBdr>
        <w:jc w:val="both"/>
        <w:rPr>
          <w:i/>
          <w:lang w:val="es-AR"/>
        </w:rPr>
      </w:pPr>
      <w:r w:rsidRPr="00117D22">
        <w:rPr>
          <w:i/>
          <w:lang w:val="es-AR"/>
        </w:rPr>
        <w:t>”</w:t>
      </w:r>
      <w:r>
        <w:rPr>
          <w:i/>
          <w:lang w:val="es-AR"/>
        </w:rPr>
        <w:t>La inversió</w:t>
      </w:r>
      <w:r w:rsidR="003C6EBE" w:rsidRPr="003C6EBE">
        <w:rPr>
          <w:i/>
          <w:lang w:val="es-AR"/>
        </w:rPr>
        <w:t xml:space="preserve">n publicitaria creció </w:t>
      </w:r>
      <w:r w:rsidR="000067EE">
        <w:rPr>
          <w:i/>
          <w:lang w:val="es-AR"/>
        </w:rPr>
        <w:t xml:space="preserve">según </w:t>
      </w:r>
      <w:r w:rsidR="003C6EBE" w:rsidRPr="003C6EBE">
        <w:rPr>
          <w:i/>
          <w:lang w:val="es-AR"/>
        </w:rPr>
        <w:t>lo esperado para EEUU en 2017 (</w:t>
      </w:r>
      <w:r>
        <w:rPr>
          <w:i/>
          <w:lang w:val="es-AR"/>
        </w:rPr>
        <w:t>+2,1% o +3,9% si no inclui</w:t>
      </w:r>
      <w:r w:rsidR="003C6EBE">
        <w:rPr>
          <w:i/>
          <w:lang w:val="es-AR"/>
        </w:rPr>
        <w:t>mos los eventos cíclicos)</w:t>
      </w:r>
      <w:r w:rsidR="000067EE">
        <w:rPr>
          <w:i/>
          <w:lang w:val="es-AR"/>
        </w:rPr>
        <w:t>.</w:t>
      </w:r>
      <w:r w:rsidR="003C6EBE">
        <w:rPr>
          <w:i/>
          <w:lang w:val="es-AR"/>
        </w:rPr>
        <w:t xml:space="preserve"> El crecimiento de la inversión publicitaria digital fue incluso mayor a lo previsto dado que social y search en particular apenas sufrieron una desaceleración</w:t>
      </w:r>
      <w:r>
        <w:rPr>
          <w:i/>
          <w:lang w:val="es-AR"/>
        </w:rPr>
        <w:t xml:space="preserve"> del ritmo obtenido en 2016.  Finalmente</w:t>
      </w:r>
      <w:r w:rsidR="000067EE">
        <w:rPr>
          <w:i/>
          <w:lang w:val="es-AR"/>
        </w:rPr>
        <w:t>,</w:t>
      </w:r>
      <w:r>
        <w:rPr>
          <w:i/>
          <w:lang w:val="es-AR"/>
        </w:rPr>
        <w:t xml:space="preserve"> la inversión publicitaria digital creció casi un 17% mientras que las ventas publicitarias offline</w:t>
      </w:r>
      <w:r w:rsidR="002D1761" w:rsidRPr="003C6EBE">
        <w:rPr>
          <w:i/>
          <w:lang w:val="es-AR"/>
        </w:rPr>
        <w:t xml:space="preserve"> </w:t>
      </w:r>
      <w:r>
        <w:rPr>
          <w:i/>
          <w:lang w:val="es-AR"/>
        </w:rPr>
        <w:t>tuvieron una caída cercana al -8%.  MAGNA prevé que el crecimiento subyacente sufra una desaceleración el año que viene cercana a +3,1%.  La publicidad política incremental debería ser fuerte pero los eventos deportivos cíclicos podrían ser decepcionantes, generando un crecimiento nominal para todos los medios de +4,9% para el año que viene.</w:t>
      </w:r>
    </w:p>
    <w:p w14:paraId="4EF32E23" w14:textId="77777777" w:rsidR="008C6E5D" w:rsidRPr="003C6EBE" w:rsidRDefault="008C6E5D" w:rsidP="00805E69">
      <w:pPr>
        <w:jc w:val="both"/>
        <w:rPr>
          <w:rFonts w:ascii="Interstate Regular Cond" w:eastAsiaTheme="majorEastAsia" w:hAnsi="Interstate Regular Cond" w:cstheme="majorBidi"/>
          <w:b/>
          <w:bCs/>
          <w:sz w:val="36"/>
          <w:szCs w:val="28"/>
          <w:lang w:val="es-AR"/>
        </w:rPr>
      </w:pPr>
      <w:r w:rsidRPr="003C6EBE">
        <w:rPr>
          <w:lang w:val="es-AR"/>
        </w:rPr>
        <w:br w:type="page"/>
      </w:r>
    </w:p>
    <w:p w14:paraId="7BE9C44E" w14:textId="47539B4F" w:rsidR="008C6E5D" w:rsidRPr="007C6135" w:rsidRDefault="00C12B7D" w:rsidP="00805E69">
      <w:pPr>
        <w:pStyle w:val="Heading1"/>
        <w:jc w:val="both"/>
        <w:rPr>
          <w:lang w:val="es-AR"/>
        </w:rPr>
      </w:pPr>
      <w:r w:rsidRPr="007C6135">
        <w:rPr>
          <w:lang w:val="es-AR"/>
        </w:rPr>
        <w:lastRenderedPageBreak/>
        <w:t>Tendencias globales en televisión</w:t>
      </w:r>
    </w:p>
    <w:p w14:paraId="59E29B33" w14:textId="1D3D0899" w:rsidR="00291D96" w:rsidRPr="00291D96" w:rsidRDefault="00291D96" w:rsidP="00805E69">
      <w:pPr>
        <w:spacing w:after="0" w:line="240" w:lineRule="auto"/>
        <w:jc w:val="both"/>
        <w:rPr>
          <w:lang w:val="es-AR"/>
        </w:rPr>
      </w:pPr>
      <w:r w:rsidRPr="00291D96">
        <w:rPr>
          <w:lang w:val="es-AR"/>
        </w:rPr>
        <w:t>Los ingresos publicitarios en televisi</w:t>
      </w:r>
      <w:r>
        <w:rPr>
          <w:lang w:val="es-AR"/>
        </w:rPr>
        <w:t>ó</w:t>
      </w:r>
      <w:r w:rsidRPr="00291D96">
        <w:rPr>
          <w:lang w:val="es-AR"/>
        </w:rPr>
        <w:t xml:space="preserve">n lineal sufrieron </w:t>
      </w:r>
      <w:r>
        <w:rPr>
          <w:lang w:val="es-AR"/>
        </w:rPr>
        <w:t xml:space="preserve">múltiples contratiempos </w:t>
      </w:r>
      <w:r w:rsidR="000067EE">
        <w:rPr>
          <w:lang w:val="es-AR"/>
        </w:rPr>
        <w:t>e</w:t>
      </w:r>
      <w:r>
        <w:rPr>
          <w:lang w:val="es-AR"/>
        </w:rPr>
        <w:t>n 2017, prin</w:t>
      </w:r>
      <w:r w:rsidR="000067EE">
        <w:rPr>
          <w:lang w:val="es-AR"/>
        </w:rPr>
        <w:t xml:space="preserve">cipalmente debido a los </w:t>
      </w:r>
      <w:r>
        <w:rPr>
          <w:lang w:val="es-AR"/>
        </w:rPr>
        <w:t>ratings</w:t>
      </w:r>
      <w:r w:rsidR="000067EE">
        <w:rPr>
          <w:lang w:val="es-AR"/>
        </w:rPr>
        <w:t xml:space="preserve"> más bajos</w:t>
      </w:r>
      <w:r>
        <w:rPr>
          <w:lang w:val="es-AR"/>
        </w:rPr>
        <w:t>,</w:t>
      </w:r>
      <w:r w:rsidR="000067EE">
        <w:rPr>
          <w:lang w:val="es-AR"/>
        </w:rPr>
        <w:t xml:space="preserve"> a</w:t>
      </w:r>
      <w:r>
        <w:rPr>
          <w:lang w:val="es-AR"/>
        </w:rPr>
        <w:t xml:space="preserve"> </w:t>
      </w:r>
      <w:r w:rsidR="000067EE">
        <w:rPr>
          <w:lang w:val="es-AR"/>
        </w:rPr>
        <w:t xml:space="preserve">un </w:t>
      </w:r>
      <w:r>
        <w:rPr>
          <w:lang w:val="es-AR"/>
        </w:rPr>
        <w:t xml:space="preserve">debilitamiento en el poder para la fijación de precios y </w:t>
      </w:r>
      <w:r w:rsidR="000067EE">
        <w:rPr>
          <w:lang w:val="es-AR"/>
        </w:rPr>
        <w:t xml:space="preserve">a </w:t>
      </w:r>
      <w:r>
        <w:rPr>
          <w:lang w:val="es-AR"/>
        </w:rPr>
        <w:t xml:space="preserve">la falta de eventos cíclicos. </w:t>
      </w:r>
      <w:r w:rsidRPr="00291D96">
        <w:rPr>
          <w:b/>
          <w:lang w:val="es-AR"/>
        </w:rPr>
        <w:t>A nivel global, el NAR en TV disminuy</w:t>
      </w:r>
      <w:r>
        <w:rPr>
          <w:b/>
          <w:lang w:val="es-AR"/>
        </w:rPr>
        <w:t>ó</w:t>
      </w:r>
      <w:r w:rsidRPr="00291D96">
        <w:rPr>
          <w:b/>
          <w:lang w:val="es-AR"/>
        </w:rPr>
        <w:t xml:space="preserve"> -2% alcanzando los 178 mil millones de dólares (TV abierta -2,5%, TV paga -0,9%)</w:t>
      </w:r>
      <w:r>
        <w:rPr>
          <w:lang w:val="es-AR"/>
        </w:rPr>
        <w:t xml:space="preserve">. Durante el último año impar (2015) el NAR para TV no tuvo modificaciones. De los 70 mercados analizados por MAGNA, 41 mostraron cierto nivel de crecimiento del NAR en 2017, mientras que </w:t>
      </w:r>
      <w:r w:rsidRPr="00291D96">
        <w:rPr>
          <w:b/>
          <w:lang w:val="es-AR"/>
        </w:rPr>
        <w:t>29 mercados mostraron caídas</w:t>
      </w:r>
      <w:r>
        <w:rPr>
          <w:lang w:val="es-AR"/>
        </w:rPr>
        <w:t xml:space="preserve">, incluyendo a la mitad de los diez principales mercados (EEUU, </w:t>
      </w:r>
      <w:r w:rsidR="000067EE">
        <w:rPr>
          <w:lang w:val="es-AR"/>
        </w:rPr>
        <w:t xml:space="preserve">el </w:t>
      </w:r>
      <w:r>
        <w:rPr>
          <w:lang w:val="es-AR"/>
        </w:rPr>
        <w:t>Reino Unido, Canadá, Australia y China).</w:t>
      </w:r>
    </w:p>
    <w:p w14:paraId="6568DADA" w14:textId="77777777" w:rsidR="00291D96" w:rsidRPr="00291D96" w:rsidRDefault="00291D96" w:rsidP="00805E69">
      <w:pPr>
        <w:spacing w:after="0" w:line="240" w:lineRule="auto"/>
        <w:jc w:val="both"/>
        <w:rPr>
          <w:lang w:val="es-AR"/>
        </w:rPr>
      </w:pPr>
    </w:p>
    <w:p w14:paraId="1F158944" w14:textId="27490EAA" w:rsidR="0042763D" w:rsidRPr="00291D96" w:rsidRDefault="00291D96" w:rsidP="00805E69">
      <w:pPr>
        <w:spacing w:after="0" w:line="240" w:lineRule="auto"/>
        <w:jc w:val="both"/>
        <w:rPr>
          <w:lang w:val="es-AR"/>
        </w:rPr>
      </w:pPr>
      <w:r w:rsidRPr="00291D96">
        <w:rPr>
          <w:lang w:val="es-AR"/>
        </w:rPr>
        <w:t xml:space="preserve">MAGNA considera que varios mercados han entrado en una nueva fase con la </w:t>
      </w:r>
      <w:r w:rsidRPr="003566CA">
        <w:rPr>
          <w:b/>
          <w:lang w:val="es-AR"/>
        </w:rPr>
        <w:t>transición</w:t>
      </w:r>
      <w:r>
        <w:rPr>
          <w:lang w:val="es-AR"/>
        </w:rPr>
        <w:t xml:space="preserve"> desde un entorno de medios que en algún momento estaba caracterizado por </w:t>
      </w:r>
      <w:r w:rsidR="000067EE">
        <w:rPr>
          <w:lang w:val="es-AR"/>
        </w:rPr>
        <w:t xml:space="preserve">tener </w:t>
      </w:r>
      <w:r>
        <w:rPr>
          <w:lang w:val="es-AR"/>
        </w:rPr>
        <w:t xml:space="preserve">un alcance </w:t>
      </w:r>
      <w:r w:rsidR="000067EE">
        <w:rPr>
          <w:lang w:val="es-AR"/>
        </w:rPr>
        <w:t>en</w:t>
      </w:r>
      <w:r>
        <w:rPr>
          <w:lang w:val="es-AR"/>
        </w:rPr>
        <w:t xml:space="preserve"> TV </w:t>
      </w:r>
      <w:r w:rsidR="003566CA">
        <w:rPr>
          <w:lang w:val="es-AR"/>
        </w:rPr>
        <w:t xml:space="preserve">con generaciones cruzadas y casi universal, un mercado de medios centrado en la televisión y audiencias predecibles y estables, hacia un mercado publicitario dividido por generaciones e impulsado por la oferta y demanda.  </w:t>
      </w:r>
    </w:p>
    <w:p w14:paraId="521CDEEB" w14:textId="77777777" w:rsidR="008C6E5D" w:rsidRPr="00291D96" w:rsidRDefault="008C6E5D" w:rsidP="00805E69">
      <w:pPr>
        <w:spacing w:after="0" w:line="240" w:lineRule="auto"/>
        <w:jc w:val="both"/>
        <w:rPr>
          <w:lang w:val="es-AR"/>
        </w:rPr>
      </w:pPr>
    </w:p>
    <w:p w14:paraId="1AA07169" w14:textId="77777777" w:rsidR="003566CA" w:rsidRDefault="003566CA" w:rsidP="00805E69">
      <w:pPr>
        <w:spacing w:after="0" w:line="240" w:lineRule="auto"/>
        <w:jc w:val="both"/>
        <w:rPr>
          <w:lang w:val="es-AR"/>
        </w:rPr>
      </w:pPr>
      <w:r w:rsidRPr="003566CA">
        <w:rPr>
          <w:lang w:val="es-AR"/>
        </w:rPr>
        <w:t>En la primera etapa, la audiencia lineal comienza a disminuir pero el alcance se mantiene elevado (a</w:t>
      </w:r>
      <w:r>
        <w:rPr>
          <w:lang w:val="es-AR"/>
        </w:rPr>
        <w:t xml:space="preserve">ún se sitúa cercano al 90% de todos los adultos en la mayoría de los mercados maduros),  y la mayoría de los verticales en TV se ven propensos a asegurar su participación en un decreciente número de impresiones. En esta primera etapa la inflación del CPM se acelera para estabilizar la inversión neta publicitaria y los ingresos. </w:t>
      </w:r>
    </w:p>
    <w:p w14:paraId="1166D856" w14:textId="182B8F35" w:rsidR="003566CA" w:rsidRPr="003566CA" w:rsidRDefault="003566CA" w:rsidP="00805E69">
      <w:pPr>
        <w:spacing w:after="0" w:line="240" w:lineRule="auto"/>
        <w:jc w:val="both"/>
        <w:rPr>
          <w:lang w:val="es-AR"/>
        </w:rPr>
      </w:pPr>
      <w:r>
        <w:rPr>
          <w:lang w:val="es-AR"/>
        </w:rPr>
        <w:t xml:space="preserve"> </w:t>
      </w:r>
    </w:p>
    <w:p w14:paraId="5A21915C" w14:textId="38C44B7A" w:rsidR="003566CA" w:rsidRPr="003566CA" w:rsidRDefault="003566CA" w:rsidP="00805E69">
      <w:pPr>
        <w:spacing w:after="0" w:line="240" w:lineRule="auto"/>
        <w:jc w:val="both"/>
        <w:rPr>
          <w:lang w:val="es-AR"/>
        </w:rPr>
      </w:pPr>
      <w:r w:rsidRPr="003566CA">
        <w:rPr>
          <w:lang w:val="es-AR"/>
        </w:rPr>
        <w:t xml:space="preserve">En una segunda etapa, los costos televisivos se tornan demasiado elevados para algunas </w:t>
      </w:r>
      <w:r>
        <w:rPr>
          <w:lang w:val="es-AR"/>
        </w:rPr>
        <w:t>categorías o marcas de productos, y otros hacen grandes esfuerzos para alcanzar a algunos de sus principales targets (p.e. Millennials, hogares con ingresos altos), incitándolos a explorar alternativas para las campañas televisivas (p.e. v</w:t>
      </w:r>
      <w:r w:rsidR="00A7498C">
        <w:rPr>
          <w:lang w:val="es-AR"/>
        </w:rPr>
        <w:t>í</w:t>
      </w:r>
      <w:r>
        <w:rPr>
          <w:lang w:val="es-AR"/>
        </w:rPr>
        <w:t>deo digital). Como consecuencia</w:t>
      </w:r>
      <w:r w:rsidR="000067EE">
        <w:rPr>
          <w:lang w:val="es-AR"/>
        </w:rPr>
        <w:t>,</w:t>
      </w:r>
      <w:r>
        <w:rPr>
          <w:lang w:val="es-AR"/>
        </w:rPr>
        <w:t xml:space="preserve"> decae la demanda de la TV lineal y se enfría la inflación del CPM, con lo cual ya no hay una compensación para la disminución de los ratings.   </w:t>
      </w:r>
    </w:p>
    <w:p w14:paraId="54D25D99" w14:textId="77777777" w:rsidR="003566CA" w:rsidRPr="003566CA" w:rsidRDefault="003566CA" w:rsidP="00805E69">
      <w:pPr>
        <w:spacing w:after="0" w:line="240" w:lineRule="auto"/>
        <w:jc w:val="both"/>
        <w:rPr>
          <w:lang w:val="es-AR"/>
        </w:rPr>
      </w:pPr>
    </w:p>
    <w:p w14:paraId="0992D96E" w14:textId="67AF0B44" w:rsidR="008C6E5D" w:rsidRPr="003566CA" w:rsidRDefault="003566CA" w:rsidP="00805E69">
      <w:pPr>
        <w:spacing w:after="0" w:line="240" w:lineRule="auto"/>
        <w:jc w:val="both"/>
        <w:rPr>
          <w:lang w:val="es-AR"/>
        </w:rPr>
      </w:pPr>
      <w:r w:rsidRPr="003566CA">
        <w:rPr>
          <w:lang w:val="es-AR"/>
        </w:rPr>
        <w:t xml:space="preserve">Cuando llegamos a esta etapa, la </w:t>
      </w:r>
      <w:r>
        <w:rPr>
          <w:lang w:val="es-AR"/>
        </w:rPr>
        <w:t xml:space="preserve">televisión aún puede generar </w:t>
      </w:r>
      <w:r w:rsidR="003F06EF">
        <w:rPr>
          <w:lang w:val="es-AR"/>
        </w:rPr>
        <w:t xml:space="preserve">un crecimiento de los ingresos en un buen año, por ejemplo cuando capitaliza los eventos nacionales o internacionales, pero básicamente se encontrará en un estancamiento en el mediano plazo. Dado que un mayor número </w:t>
      </w:r>
      <w:r w:rsidR="000067EE">
        <w:rPr>
          <w:lang w:val="es-AR"/>
        </w:rPr>
        <w:t>de mercados poco a poco ingresa</w:t>
      </w:r>
      <w:r w:rsidR="003F06EF">
        <w:rPr>
          <w:lang w:val="es-AR"/>
        </w:rPr>
        <w:t xml:space="preserve"> en la segunda fase de esta transición, MAGNA prevé que el NAR global para TV cr</w:t>
      </w:r>
      <w:r w:rsidR="000067EE">
        <w:rPr>
          <w:lang w:val="es-AR"/>
        </w:rPr>
        <w:t>ezca en torno a</w:t>
      </w:r>
      <w:r w:rsidR="003F06EF">
        <w:rPr>
          <w:lang w:val="es-AR"/>
        </w:rPr>
        <w:t xml:space="preserve"> +2,5% en 2018 y la tasa promedio de crecimiento </w:t>
      </w:r>
      <w:r w:rsidR="000067EE">
        <w:rPr>
          <w:lang w:val="es-AR"/>
        </w:rPr>
        <w:t xml:space="preserve">se ubique </w:t>
      </w:r>
      <w:r w:rsidR="003F06EF">
        <w:rPr>
          <w:lang w:val="es-AR"/>
        </w:rPr>
        <w:t xml:space="preserve">cercana al +0,1% para los próximos cuatro años. </w:t>
      </w:r>
    </w:p>
    <w:p w14:paraId="255F756C" w14:textId="77777777" w:rsidR="003566CA" w:rsidRPr="003566CA" w:rsidRDefault="003566CA" w:rsidP="00805E69">
      <w:pPr>
        <w:spacing w:after="0" w:line="240" w:lineRule="auto"/>
        <w:jc w:val="both"/>
        <w:rPr>
          <w:b/>
          <w:lang w:val="es-AR"/>
        </w:rPr>
      </w:pPr>
    </w:p>
    <w:p w14:paraId="235AFFF7" w14:textId="3DD7B782" w:rsidR="0042763D" w:rsidRPr="006111E3" w:rsidRDefault="003F06EF" w:rsidP="00805E69">
      <w:pPr>
        <w:spacing w:after="0" w:line="240" w:lineRule="auto"/>
        <w:jc w:val="both"/>
        <w:rPr>
          <w:lang w:val="es-AR"/>
        </w:rPr>
      </w:pPr>
      <w:r w:rsidRPr="003F06EF">
        <w:rPr>
          <w:b/>
          <w:lang w:val="es-AR"/>
        </w:rPr>
        <w:t>La televisi</w:t>
      </w:r>
      <w:r w:rsidR="006111E3">
        <w:rPr>
          <w:b/>
          <w:lang w:val="es-AR"/>
        </w:rPr>
        <w:t>ó</w:t>
      </w:r>
      <w:r w:rsidRPr="003F06EF">
        <w:rPr>
          <w:b/>
          <w:lang w:val="es-AR"/>
        </w:rPr>
        <w:t xml:space="preserve">n multicanal </w:t>
      </w:r>
      <w:r w:rsidR="0042763D" w:rsidRPr="003F06EF">
        <w:rPr>
          <w:b/>
          <w:lang w:val="es-AR"/>
        </w:rPr>
        <w:t>(</w:t>
      </w:r>
      <w:r w:rsidRPr="003F06EF">
        <w:rPr>
          <w:b/>
          <w:lang w:val="es-AR"/>
        </w:rPr>
        <w:t>canales por cable / satelitales</w:t>
      </w:r>
      <w:r w:rsidR="0042763D" w:rsidRPr="003F06EF">
        <w:rPr>
          <w:b/>
          <w:lang w:val="es-AR"/>
        </w:rPr>
        <w:t xml:space="preserve">) </w:t>
      </w:r>
      <w:r w:rsidRPr="003F06EF">
        <w:rPr>
          <w:b/>
          <w:lang w:val="es-AR"/>
        </w:rPr>
        <w:t>continuarán teniendo un desempeño ligeramente m</w:t>
      </w:r>
      <w:r w:rsidR="006111E3">
        <w:rPr>
          <w:b/>
          <w:lang w:val="es-AR"/>
        </w:rPr>
        <w:t>e</w:t>
      </w:r>
      <w:r w:rsidRPr="003F06EF">
        <w:rPr>
          <w:b/>
          <w:lang w:val="es-AR"/>
        </w:rPr>
        <w:t xml:space="preserve">jor que </w:t>
      </w:r>
      <w:r w:rsidRPr="003F06EF">
        <w:rPr>
          <w:lang w:val="es-AR"/>
        </w:rPr>
        <w:t xml:space="preserve">las cadenas nacionales abiertas en </w:t>
      </w:r>
      <w:r>
        <w:rPr>
          <w:lang w:val="es-AR"/>
        </w:rPr>
        <w:t xml:space="preserve">relación al </w:t>
      </w:r>
      <w:r w:rsidR="007C4EB3" w:rsidRPr="003F06EF">
        <w:rPr>
          <w:lang w:val="es-AR"/>
        </w:rPr>
        <w:t>NAR (</w:t>
      </w:r>
      <w:r>
        <w:rPr>
          <w:lang w:val="es-AR"/>
        </w:rPr>
        <w:t xml:space="preserve">TCCA de cuatro años </w:t>
      </w:r>
      <w:r w:rsidR="007C4EB3" w:rsidRPr="003F06EF">
        <w:rPr>
          <w:lang w:val="es-AR"/>
        </w:rPr>
        <w:t>+1</w:t>
      </w:r>
      <w:r>
        <w:rPr>
          <w:lang w:val="es-AR"/>
        </w:rPr>
        <w:t>,</w:t>
      </w:r>
      <w:r w:rsidR="007C4EB3" w:rsidRPr="003F06EF">
        <w:rPr>
          <w:lang w:val="es-AR"/>
        </w:rPr>
        <w:t>9% vs -0</w:t>
      </w:r>
      <w:r>
        <w:rPr>
          <w:lang w:val="es-AR"/>
        </w:rPr>
        <w:t>,</w:t>
      </w:r>
      <w:r w:rsidR="007C4EB3" w:rsidRPr="003F06EF">
        <w:rPr>
          <w:lang w:val="es-AR"/>
        </w:rPr>
        <w:t xml:space="preserve">8%) </w:t>
      </w:r>
      <w:r>
        <w:rPr>
          <w:lang w:val="es-AR"/>
        </w:rPr>
        <w:t xml:space="preserve">gracias al crecimiento de su participación de audiencia. </w:t>
      </w:r>
      <w:r w:rsidRPr="003F06EF">
        <w:rPr>
          <w:lang w:val="es-AR"/>
        </w:rPr>
        <w:t>Sin embargo, esta brecha se est</w:t>
      </w:r>
      <w:r w:rsidR="006111E3">
        <w:rPr>
          <w:lang w:val="es-AR"/>
        </w:rPr>
        <w:t>á</w:t>
      </w:r>
      <w:r w:rsidRPr="003F06EF">
        <w:rPr>
          <w:lang w:val="es-AR"/>
        </w:rPr>
        <w:t xml:space="preserve"> acortando debido a que el crecimiento de la </w:t>
      </w:r>
      <w:r>
        <w:rPr>
          <w:lang w:val="es-AR"/>
        </w:rPr>
        <w:t xml:space="preserve">penetración multicanal está desacelerándose en la mayoría de los mercados maduros y </w:t>
      </w:r>
      <w:r w:rsidR="000067EE">
        <w:rPr>
          <w:lang w:val="es-AR"/>
        </w:rPr>
        <w:t xml:space="preserve">a que </w:t>
      </w:r>
      <w:r>
        <w:rPr>
          <w:lang w:val="es-AR"/>
        </w:rPr>
        <w:t>algunos –principalmente en Am</w:t>
      </w:r>
      <w:r w:rsidR="006111E3">
        <w:rPr>
          <w:lang w:val="es-AR"/>
        </w:rPr>
        <w:t>é</w:t>
      </w:r>
      <w:r>
        <w:rPr>
          <w:lang w:val="es-AR"/>
        </w:rPr>
        <w:t xml:space="preserve">rica del Norte- han alcanzado un punto en que las suscripciones multicanal y el alcance técnico de las redes de cables están comenzando a sufrir una reducción. </w:t>
      </w:r>
      <w:r w:rsidRPr="006111E3">
        <w:rPr>
          <w:lang w:val="es-AR"/>
        </w:rPr>
        <w:t>Esto es causado por la repentina aceleración del “cord cutting”</w:t>
      </w:r>
      <w:r w:rsidR="00A7498C">
        <w:rPr>
          <w:lang w:val="es-AR"/>
        </w:rPr>
        <w:t xml:space="preserve"> (abandono de la TV paga)</w:t>
      </w:r>
      <w:r w:rsidRPr="006111E3">
        <w:rPr>
          <w:lang w:val="es-AR"/>
        </w:rPr>
        <w:t xml:space="preserve"> desde principios de 2017, y la cada vez m</w:t>
      </w:r>
      <w:r w:rsidR="006111E3">
        <w:rPr>
          <w:lang w:val="es-AR"/>
        </w:rPr>
        <w:t>á</w:t>
      </w:r>
      <w:r w:rsidRPr="006111E3">
        <w:rPr>
          <w:lang w:val="es-AR"/>
        </w:rPr>
        <w:t>s  atractiva oferta de los servicios</w:t>
      </w:r>
      <w:r w:rsidR="006111E3" w:rsidRPr="006111E3">
        <w:rPr>
          <w:lang w:val="es-AR"/>
        </w:rPr>
        <w:t xml:space="preserve"> de video bajo demanda por </w:t>
      </w:r>
      <w:r w:rsidR="006111E3">
        <w:rPr>
          <w:lang w:val="es-AR"/>
        </w:rPr>
        <w:t xml:space="preserve">suscripción </w:t>
      </w:r>
      <w:r w:rsidR="000067EE">
        <w:rPr>
          <w:lang w:val="es-AR"/>
        </w:rPr>
        <w:t>y</w:t>
      </w:r>
      <w:r w:rsidR="006111E3">
        <w:rPr>
          <w:lang w:val="es-AR"/>
        </w:rPr>
        <w:t xml:space="preserve"> “over the top”</w:t>
      </w:r>
      <w:r w:rsidR="007C4EB3" w:rsidRPr="006111E3">
        <w:rPr>
          <w:lang w:val="es-AR"/>
        </w:rPr>
        <w:t xml:space="preserve"> (</w:t>
      </w:r>
      <w:r w:rsidR="006111E3">
        <w:rPr>
          <w:lang w:val="es-AR"/>
        </w:rPr>
        <w:t xml:space="preserve">p.e. en los EEEUU) o </w:t>
      </w:r>
      <w:r w:rsidR="006111E3">
        <w:rPr>
          <w:lang w:val="es-AR"/>
        </w:rPr>
        <w:lastRenderedPageBreak/>
        <w:t>debido a l</w:t>
      </w:r>
      <w:r w:rsidR="00A7498C">
        <w:rPr>
          <w:lang w:val="es-AR"/>
        </w:rPr>
        <w:t>a opción de</w:t>
      </w:r>
      <w:r w:rsidR="000067EE">
        <w:rPr>
          <w:lang w:val="es-AR"/>
        </w:rPr>
        <w:t xml:space="preserve"> los </w:t>
      </w:r>
      <w:r w:rsidR="007C4EB3" w:rsidRPr="006111E3">
        <w:rPr>
          <w:lang w:val="es-AR"/>
        </w:rPr>
        <w:t>“skinny bundles”</w:t>
      </w:r>
      <w:r w:rsidR="00A7498C">
        <w:rPr>
          <w:lang w:val="es-AR"/>
        </w:rPr>
        <w:t xml:space="preserve"> (paquetes reducidos de canales de TV </w:t>
      </w:r>
      <w:r w:rsidR="00B36E34">
        <w:rPr>
          <w:lang w:val="es-AR"/>
        </w:rPr>
        <w:t>vía</w:t>
      </w:r>
      <w:r w:rsidR="00A7498C">
        <w:rPr>
          <w:lang w:val="es-AR"/>
        </w:rPr>
        <w:t xml:space="preserve"> streaming)</w:t>
      </w:r>
      <w:r w:rsidR="000067EE">
        <w:rPr>
          <w:lang w:val="es-AR"/>
        </w:rPr>
        <w:t xml:space="preserve"> </w:t>
      </w:r>
      <w:r w:rsidR="006111E3">
        <w:rPr>
          <w:lang w:val="es-AR"/>
        </w:rPr>
        <w:t xml:space="preserve">o </w:t>
      </w:r>
      <w:r w:rsidR="000067EE">
        <w:rPr>
          <w:lang w:val="es-AR"/>
        </w:rPr>
        <w:t xml:space="preserve">también </w:t>
      </w:r>
      <w:r w:rsidR="006111E3">
        <w:rPr>
          <w:lang w:val="es-AR"/>
        </w:rPr>
        <w:t>la opción de canales a la carta que cada vez más están a disposición de los consumidores</w:t>
      </w:r>
      <w:r w:rsidR="007C4EB3" w:rsidRPr="006111E3">
        <w:rPr>
          <w:lang w:val="es-AR"/>
        </w:rPr>
        <w:t xml:space="preserve"> (</w:t>
      </w:r>
      <w:r w:rsidR="006111E3">
        <w:rPr>
          <w:lang w:val="es-AR"/>
        </w:rPr>
        <w:t>p.e. en EEUU y Canadá)</w:t>
      </w:r>
      <w:r w:rsidR="007C4EB3" w:rsidRPr="006111E3">
        <w:rPr>
          <w:lang w:val="es-AR"/>
        </w:rPr>
        <w:t>.</w:t>
      </w:r>
    </w:p>
    <w:p w14:paraId="61AC0316" w14:textId="77777777" w:rsidR="008C6E5D" w:rsidRPr="006111E3" w:rsidRDefault="008C6E5D" w:rsidP="00805E69">
      <w:pPr>
        <w:spacing w:after="0" w:line="240" w:lineRule="auto"/>
        <w:jc w:val="both"/>
        <w:rPr>
          <w:lang w:val="es-AR"/>
        </w:rPr>
      </w:pPr>
    </w:p>
    <w:p w14:paraId="3EA18D18" w14:textId="3CCF5BF9" w:rsidR="00AA2F85" w:rsidRPr="00AA2F85" w:rsidRDefault="00B36E34" w:rsidP="00805E69">
      <w:pPr>
        <w:spacing w:after="0" w:line="240" w:lineRule="auto"/>
        <w:jc w:val="both"/>
        <w:rPr>
          <w:b/>
          <w:lang w:val="es-AR"/>
        </w:rPr>
      </w:pPr>
      <w:r w:rsidRPr="00AA2F85">
        <w:rPr>
          <w:lang w:val="es-AR"/>
        </w:rPr>
        <w:t>Más</w:t>
      </w:r>
      <w:r w:rsidR="00AA2F85" w:rsidRPr="00AA2F85">
        <w:rPr>
          <w:lang w:val="es-AR"/>
        </w:rPr>
        <w:t xml:space="preserve"> </w:t>
      </w:r>
      <w:r w:rsidRPr="00AA2F85">
        <w:rPr>
          <w:lang w:val="es-AR"/>
        </w:rPr>
        <w:t>allá</w:t>
      </w:r>
      <w:r w:rsidR="00AA2F85" w:rsidRPr="00AA2F85">
        <w:rPr>
          <w:lang w:val="es-AR"/>
        </w:rPr>
        <w:t xml:space="preserve"> de la preocupación po</w:t>
      </w:r>
      <w:r w:rsidR="00AA2F85">
        <w:rPr>
          <w:lang w:val="es-AR"/>
        </w:rPr>
        <w:t xml:space="preserve">r el alcance y la fijación de precios, una de las preocupaciones para la televisión en 2017 y 2018 es la caída de la inversión en </w:t>
      </w:r>
      <w:r w:rsidR="00AA2F85" w:rsidRPr="00AA2F85">
        <w:rPr>
          <w:b/>
          <w:lang w:val="es-AR"/>
        </w:rPr>
        <w:t xml:space="preserve">dos categorías cruciales de clientes: Consumo masivo (CPG) y Automotriz. </w:t>
      </w:r>
    </w:p>
    <w:p w14:paraId="1FB4CB74" w14:textId="77777777" w:rsidR="00AA2F85" w:rsidRDefault="00AA2F85" w:rsidP="00805E69">
      <w:pPr>
        <w:spacing w:after="0" w:line="240" w:lineRule="auto"/>
        <w:jc w:val="both"/>
        <w:rPr>
          <w:lang w:val="es-AR"/>
        </w:rPr>
      </w:pPr>
    </w:p>
    <w:p w14:paraId="4D162FE3" w14:textId="50D78C22" w:rsidR="00920E25" w:rsidRPr="00AA2F85" w:rsidRDefault="00AA2F85" w:rsidP="00805E69">
      <w:pPr>
        <w:spacing w:after="0" w:line="240" w:lineRule="auto"/>
        <w:jc w:val="both"/>
        <w:rPr>
          <w:lang w:val="es-AR"/>
        </w:rPr>
      </w:pPr>
      <w:r w:rsidRPr="00AA2F85">
        <w:rPr>
          <w:lang w:val="es-AR"/>
        </w:rPr>
        <w:t>Varias de las empresas multinacionales que dominan el sector de consumo masivo est</w:t>
      </w:r>
      <w:r>
        <w:rPr>
          <w:lang w:val="es-AR"/>
        </w:rPr>
        <w:t xml:space="preserve">án </w:t>
      </w:r>
      <w:r w:rsidR="000067EE">
        <w:rPr>
          <w:lang w:val="es-AR"/>
        </w:rPr>
        <w:t xml:space="preserve">transitando un </w:t>
      </w:r>
      <w:r>
        <w:rPr>
          <w:lang w:val="es-AR"/>
        </w:rPr>
        <w:t xml:space="preserve">recorte global de costos. Por otra parte, el renovado foco en la “seguridad de la marca” (o la ausencia de la misma en algunos medios digitales) no ha generado hasta ahora un retorno masivo hacia la televisión tradicional. La categoría de consumo masivo sigue siendo clave para la televisión ya que aún ofrece el alcance y la escala que los productos para el consumidor necesitan desarrollar y mantiene la equidad de marca y las ventas del retail. No obstante, los anunciantes de consumo masivo ahora están reduciéndose y diversificando su inversión en la mayoría de los mercados. Asimismo también reducen el número de productos y marcas que pautan en televisión, y algunas veces  evitan la televisión para el lanzamiento de productos.  </w:t>
      </w:r>
    </w:p>
    <w:p w14:paraId="0D0E9BDD" w14:textId="42F4F722" w:rsidR="00AA2F85" w:rsidRPr="007C6135" w:rsidRDefault="00C12B7D" w:rsidP="00805E69">
      <w:pPr>
        <w:pStyle w:val="Heading1"/>
        <w:jc w:val="both"/>
        <w:rPr>
          <w:lang w:val="es-AR"/>
        </w:rPr>
      </w:pPr>
      <w:r w:rsidRPr="007C6135">
        <w:rPr>
          <w:lang w:val="es-AR"/>
        </w:rPr>
        <w:t>Tendencias globales en digital</w:t>
      </w:r>
    </w:p>
    <w:p w14:paraId="2F54F942" w14:textId="2A601C80" w:rsidR="008155B2" w:rsidRPr="00AA2F85" w:rsidRDefault="00AA2F85" w:rsidP="00805E69">
      <w:pPr>
        <w:spacing w:after="0" w:line="240" w:lineRule="auto"/>
        <w:jc w:val="both"/>
        <w:rPr>
          <w:lang w:val="es-AR"/>
        </w:rPr>
      </w:pPr>
      <w:r w:rsidRPr="00AA2F85">
        <w:rPr>
          <w:b/>
          <w:lang w:val="es-AR"/>
        </w:rPr>
        <w:t>Las ventas publicitarias globales para digital tendrán un increment</w:t>
      </w:r>
      <w:r>
        <w:rPr>
          <w:b/>
          <w:lang w:val="es-AR"/>
        </w:rPr>
        <w:t>o</w:t>
      </w:r>
      <w:r w:rsidRPr="00AA2F85">
        <w:rPr>
          <w:b/>
          <w:lang w:val="es-AR"/>
        </w:rPr>
        <w:t xml:space="preserve"> de +13% en 2018</w:t>
      </w:r>
      <w:r w:rsidRPr="00AA2F85">
        <w:rPr>
          <w:lang w:val="es-AR"/>
        </w:rPr>
        <w:t>, ligeramente inferior a la tasa de crecim</w:t>
      </w:r>
      <w:r>
        <w:rPr>
          <w:lang w:val="es-AR"/>
        </w:rPr>
        <w:t>ien</w:t>
      </w:r>
      <w:r w:rsidRPr="00AA2F85">
        <w:rPr>
          <w:lang w:val="es-AR"/>
        </w:rPr>
        <w:t>to de este año de +17%, pero m</w:t>
      </w:r>
      <w:r>
        <w:rPr>
          <w:lang w:val="es-AR"/>
        </w:rPr>
        <w:t>ás fuerte que las expectativas previas (+12%). El crecimiento en 2018 generar</w:t>
      </w:r>
      <w:r w:rsidR="000067EE">
        <w:rPr>
          <w:lang w:val="es-AR"/>
        </w:rPr>
        <w:t>á</w:t>
      </w:r>
      <w:r>
        <w:rPr>
          <w:lang w:val="es-AR"/>
        </w:rPr>
        <w:t xml:space="preserve"> una inversión publicitaria digital global de 237 mil millones de dólares, radicalmente mayor que la televisión con 183 mil millones de dólares. Se prevé que el crecimiento digital se mantenga fuerte durante los próximos cinco años, reflejando los rápidos cambios en el consumo de medios y la tecnología del marketing. </w:t>
      </w:r>
      <w:r w:rsidRPr="00AA2F85">
        <w:rPr>
          <w:b/>
          <w:lang w:val="es-AR"/>
        </w:rPr>
        <w:t>Para 2020 las ventas publicitarias digitales alcanzarán 50% de todas las ventas publicitarias</w:t>
      </w:r>
      <w:r>
        <w:rPr>
          <w:lang w:val="es-AR"/>
        </w:rPr>
        <w:t xml:space="preserve">; para 2022 la inversión publicitaria digital alcanzará 348 mil millones de dólares, representando más del 55% del total de los presupuestos publicitarios para todos los formatos.  </w:t>
      </w:r>
      <w:r w:rsidR="008155B2" w:rsidRPr="00AA2F85">
        <w:rPr>
          <w:lang w:val="es-AR"/>
        </w:rPr>
        <w:t xml:space="preserve"> </w:t>
      </w:r>
    </w:p>
    <w:p w14:paraId="5F6108B2" w14:textId="77777777" w:rsidR="008C6E5D" w:rsidRPr="007C6135" w:rsidRDefault="008C6E5D" w:rsidP="00805E69">
      <w:pPr>
        <w:spacing w:after="0" w:line="240" w:lineRule="auto"/>
        <w:jc w:val="both"/>
        <w:rPr>
          <w:lang w:val="es-AR"/>
        </w:rPr>
      </w:pPr>
    </w:p>
    <w:p w14:paraId="78552C46" w14:textId="3886D4F4" w:rsidR="00AA2F85" w:rsidRPr="00AA2F85" w:rsidRDefault="00AA2F85" w:rsidP="00805E69">
      <w:pPr>
        <w:spacing w:after="0" w:line="240" w:lineRule="auto"/>
        <w:jc w:val="both"/>
        <w:rPr>
          <w:lang w:val="es-AR"/>
        </w:rPr>
      </w:pPr>
      <w:r w:rsidRPr="00036568">
        <w:rPr>
          <w:b/>
          <w:lang w:val="es-AR"/>
        </w:rPr>
        <w:t>E</w:t>
      </w:r>
      <w:r w:rsidR="00036568">
        <w:rPr>
          <w:b/>
          <w:lang w:val="es-AR"/>
        </w:rPr>
        <w:t>l</w:t>
      </w:r>
      <w:r w:rsidRPr="00036568">
        <w:rPr>
          <w:b/>
          <w:lang w:val="es-AR"/>
        </w:rPr>
        <w:t xml:space="preserve"> crecimiento para digital ahora está total</w:t>
      </w:r>
      <w:r w:rsidR="00036568">
        <w:rPr>
          <w:b/>
          <w:lang w:val="es-AR"/>
        </w:rPr>
        <w:t>mente</w:t>
      </w:r>
      <w:r w:rsidRPr="00036568">
        <w:rPr>
          <w:b/>
          <w:lang w:val="es-AR"/>
        </w:rPr>
        <w:t xml:space="preserve"> impu</w:t>
      </w:r>
      <w:r w:rsidR="00036568">
        <w:rPr>
          <w:b/>
          <w:lang w:val="es-AR"/>
        </w:rPr>
        <w:t>lsa</w:t>
      </w:r>
      <w:r w:rsidRPr="00036568">
        <w:rPr>
          <w:b/>
          <w:lang w:val="es-AR"/>
        </w:rPr>
        <w:t>do por la publicidad mó</w:t>
      </w:r>
      <w:r w:rsidR="00036568">
        <w:rPr>
          <w:b/>
          <w:lang w:val="es-AR"/>
        </w:rPr>
        <w:t>v</w:t>
      </w:r>
      <w:r w:rsidRPr="00036568">
        <w:rPr>
          <w:b/>
          <w:lang w:val="es-AR"/>
        </w:rPr>
        <w:t>il</w:t>
      </w:r>
      <w:r>
        <w:rPr>
          <w:lang w:val="es-AR"/>
        </w:rPr>
        <w:t xml:space="preserve">. Se prevé que </w:t>
      </w:r>
      <w:r w:rsidR="00C25B1E">
        <w:rPr>
          <w:lang w:val="es-AR"/>
        </w:rPr>
        <w:t>l</w:t>
      </w:r>
      <w:r>
        <w:rPr>
          <w:lang w:val="es-AR"/>
        </w:rPr>
        <w:t>a inversión en móvil tenga un crecimiento de +27% alcanzando los 147 mil millones de dólares</w:t>
      </w:r>
      <w:r w:rsidR="004A1B0F">
        <w:rPr>
          <w:lang w:val="es-AR"/>
        </w:rPr>
        <w:t xml:space="preserve"> en 2018</w:t>
      </w:r>
      <w:r>
        <w:rPr>
          <w:lang w:val="es-AR"/>
        </w:rPr>
        <w:t>, por delante de las proyecciones anteriores de 24% de crecimiento. A pesar de que esto es menor en términos de crecimiento que la tasa de crecimiento de</w:t>
      </w:r>
      <w:r w:rsidR="00C25B1E">
        <w:rPr>
          <w:lang w:val="es-AR"/>
        </w:rPr>
        <w:t>l 39% de 2017, representa un</w:t>
      </w:r>
      <w:r>
        <w:rPr>
          <w:lang w:val="es-AR"/>
        </w:rPr>
        <w:t xml:space="preserve"> </w:t>
      </w:r>
      <w:r w:rsidR="00C25B1E">
        <w:rPr>
          <w:lang w:val="es-AR"/>
        </w:rPr>
        <w:t>monto</w:t>
      </w:r>
      <w:r>
        <w:rPr>
          <w:lang w:val="es-AR"/>
        </w:rPr>
        <w:t xml:space="preserve"> similar de inversión incremental (32 mil millones de dó</w:t>
      </w:r>
      <w:r w:rsidR="00036568">
        <w:rPr>
          <w:lang w:val="es-AR"/>
        </w:rPr>
        <w:t>la</w:t>
      </w:r>
      <w:r>
        <w:rPr>
          <w:lang w:val="es-AR"/>
        </w:rPr>
        <w:t>res). Este fuerte creci</w:t>
      </w:r>
      <w:r w:rsidR="00036568">
        <w:rPr>
          <w:lang w:val="es-AR"/>
        </w:rPr>
        <w:t>m</w:t>
      </w:r>
      <w:r>
        <w:rPr>
          <w:lang w:val="es-AR"/>
        </w:rPr>
        <w:t xml:space="preserve">iento </w:t>
      </w:r>
      <w:r w:rsidR="00C25B1E">
        <w:rPr>
          <w:lang w:val="es-AR"/>
        </w:rPr>
        <w:t xml:space="preserve">se </w:t>
      </w:r>
      <w:r>
        <w:rPr>
          <w:lang w:val="es-AR"/>
        </w:rPr>
        <w:t>contrasta con el crecimiento en la publicidad desktop, que sufrió una contracción de -2% este año, y se espera que siga con una reducción del -4% en 2018. L</w:t>
      </w:r>
      <w:r w:rsidR="00036568">
        <w:rPr>
          <w:lang w:val="es-AR"/>
        </w:rPr>
        <w:t>a</w:t>
      </w:r>
      <w:r>
        <w:rPr>
          <w:lang w:val="es-AR"/>
        </w:rPr>
        <w:t xml:space="preserve">s impresiones </w:t>
      </w:r>
      <w:r w:rsidR="00C25B1E">
        <w:rPr>
          <w:lang w:val="es-AR"/>
        </w:rPr>
        <w:t>y</w:t>
      </w:r>
      <w:r>
        <w:rPr>
          <w:lang w:val="es-AR"/>
        </w:rPr>
        <w:t xml:space="preserve"> los clics basados en desktop están </w:t>
      </w:r>
      <w:r w:rsidR="00C25B1E">
        <w:rPr>
          <w:lang w:val="es-AR"/>
        </w:rPr>
        <w:t>realmente</w:t>
      </w:r>
      <w:r>
        <w:rPr>
          <w:lang w:val="es-AR"/>
        </w:rPr>
        <w:t xml:space="preserve"> sufriendo una reducción en la mayoría de los mercados dado que los dispositivos m</w:t>
      </w:r>
      <w:r w:rsidR="00036568">
        <w:rPr>
          <w:lang w:val="es-AR"/>
        </w:rPr>
        <w:t xml:space="preserve">óviles- principalmente los teléfonos inteligentes- se consolidan como la principal plataforma para casi todos los aspectos de la vida digital, a excepción de la informática en la oficina: redes sociales, mensajería desde ya, pero también cada vez más el e-commerce, las noticias, vídeo y search. Las generaciones más jóvenes están casi totalmente centradas en lo móvil en este momento y se espera un mayor crecimiento  en las generaciones más viejas que buscan estar al día.    </w:t>
      </w:r>
      <w:r>
        <w:rPr>
          <w:lang w:val="es-AR"/>
        </w:rPr>
        <w:t xml:space="preserve"> </w:t>
      </w:r>
    </w:p>
    <w:p w14:paraId="7FB78824" w14:textId="77777777" w:rsidR="00036568" w:rsidRPr="007C6135" w:rsidRDefault="00036568" w:rsidP="00805E69">
      <w:pPr>
        <w:spacing w:after="0" w:line="240" w:lineRule="auto"/>
        <w:jc w:val="both"/>
        <w:rPr>
          <w:lang w:val="es-AR"/>
        </w:rPr>
      </w:pPr>
    </w:p>
    <w:p w14:paraId="3EEED539" w14:textId="690F63C9" w:rsidR="00036568" w:rsidRPr="00036568" w:rsidRDefault="00036568" w:rsidP="00805E69">
      <w:pPr>
        <w:spacing w:after="0" w:line="240" w:lineRule="auto"/>
        <w:jc w:val="both"/>
        <w:rPr>
          <w:lang w:val="es-AR"/>
        </w:rPr>
      </w:pPr>
      <w:r w:rsidRPr="00036568">
        <w:rPr>
          <w:lang w:val="es-AR"/>
        </w:rPr>
        <w:t xml:space="preserve">El perfil demográfico mucho más joven de los </w:t>
      </w:r>
      <w:r>
        <w:rPr>
          <w:lang w:val="es-AR"/>
        </w:rPr>
        <w:t>merc</w:t>
      </w:r>
      <w:r w:rsidRPr="00036568">
        <w:rPr>
          <w:lang w:val="es-AR"/>
        </w:rPr>
        <w:t>ados emergentes, as</w:t>
      </w:r>
      <w:r>
        <w:rPr>
          <w:lang w:val="es-AR"/>
        </w:rPr>
        <w:t xml:space="preserve">í como también la menor penetración de los ordenadores y la capacidad de compra de teléfonos básicos explica la razón por la cual la participación de uso de móviles y publicidad móvil es mayor en los mercados en vías de desarrollo: 59% de la publicidad digital para 2018 comparada con 54% en los mercados maduros y 55% en promedio a nivel global.  </w:t>
      </w:r>
    </w:p>
    <w:p w14:paraId="0E73FB67" w14:textId="21B54FB8" w:rsidR="00C12D4C" w:rsidRPr="00C12D4C" w:rsidRDefault="00C12D4C" w:rsidP="00805E69">
      <w:pPr>
        <w:spacing w:after="0" w:line="240" w:lineRule="auto"/>
        <w:jc w:val="both"/>
        <w:rPr>
          <w:lang w:val="es-AR"/>
        </w:rPr>
      </w:pPr>
      <w:r w:rsidRPr="00C12D4C">
        <w:rPr>
          <w:lang w:val="es-AR"/>
        </w:rPr>
        <w:t>La participación de móvil es la m</w:t>
      </w:r>
      <w:r>
        <w:rPr>
          <w:lang w:val="es-AR"/>
        </w:rPr>
        <w:t xml:space="preserve">ás alta para las redes sociales ya que el uso cambió de forma muy repentina hacia móvil </w:t>
      </w:r>
      <w:r w:rsidR="002A0743">
        <w:rPr>
          <w:lang w:val="es-AR"/>
        </w:rPr>
        <w:t xml:space="preserve">en </w:t>
      </w:r>
      <w:r>
        <w:rPr>
          <w:lang w:val="es-AR"/>
        </w:rPr>
        <w:t xml:space="preserve">el </w:t>
      </w:r>
      <w:r w:rsidR="002A0743">
        <w:rPr>
          <w:lang w:val="es-AR"/>
        </w:rPr>
        <w:t xml:space="preserve">mismo </w:t>
      </w:r>
      <w:r>
        <w:rPr>
          <w:lang w:val="es-AR"/>
        </w:rPr>
        <w:t>momento en que Facebook introdujo la capacidad de publicitar dentro de las aplicaciones móviles; la penetración móvil dentro de las redes sociales se aceleró a medida que el ecosistema d</w:t>
      </w:r>
      <w:r w:rsidR="002A0743">
        <w:rPr>
          <w:lang w:val="es-AR"/>
        </w:rPr>
        <w:t>e las redes sociales se tornó más diversificado y competitivo</w:t>
      </w:r>
      <w:r>
        <w:rPr>
          <w:lang w:val="es-AR"/>
        </w:rPr>
        <w:t>. Par</w:t>
      </w:r>
      <w:r w:rsidR="002A0743">
        <w:rPr>
          <w:lang w:val="es-AR"/>
        </w:rPr>
        <w:t>a fines de 2017</w:t>
      </w:r>
      <w:r>
        <w:rPr>
          <w:lang w:val="es-AR"/>
        </w:rPr>
        <w:t>, 85% de las ventas publicitarias en</w:t>
      </w:r>
      <w:r w:rsidR="002A0743">
        <w:rPr>
          <w:lang w:val="es-AR"/>
        </w:rPr>
        <w:t xml:space="preserve"> redes sociales estarán centrada</w:t>
      </w:r>
      <w:r>
        <w:rPr>
          <w:lang w:val="es-AR"/>
        </w:rPr>
        <w:t xml:space="preserve">s en lo móvil a nivel global. </w:t>
      </w:r>
    </w:p>
    <w:p w14:paraId="039C9062" w14:textId="77777777" w:rsidR="00C12D4C" w:rsidRDefault="00C12D4C" w:rsidP="00805E69">
      <w:pPr>
        <w:spacing w:after="0" w:line="240" w:lineRule="auto"/>
        <w:jc w:val="both"/>
        <w:rPr>
          <w:lang w:val="es-AR"/>
        </w:rPr>
      </w:pPr>
    </w:p>
    <w:p w14:paraId="2FF9DD94" w14:textId="3A21D0DB" w:rsidR="008C6E5D" w:rsidRPr="00C12D4C" w:rsidRDefault="00C12D4C" w:rsidP="00805E69">
      <w:pPr>
        <w:spacing w:after="0" w:line="240" w:lineRule="auto"/>
        <w:jc w:val="both"/>
        <w:rPr>
          <w:lang w:val="es-AR"/>
        </w:rPr>
      </w:pPr>
      <w:r w:rsidRPr="00C12D4C">
        <w:rPr>
          <w:lang w:val="es-AR"/>
        </w:rPr>
        <w:t>La migración de se</w:t>
      </w:r>
      <w:r>
        <w:rPr>
          <w:lang w:val="es-AR"/>
        </w:rPr>
        <w:t>arch</w:t>
      </w:r>
      <w:r w:rsidRPr="00C12D4C">
        <w:rPr>
          <w:lang w:val="es-AR"/>
        </w:rPr>
        <w:t xml:space="preserve"> es m</w:t>
      </w:r>
      <w:r>
        <w:rPr>
          <w:lang w:val="es-AR"/>
        </w:rPr>
        <w:t>ás lent</w:t>
      </w:r>
      <w:r w:rsidR="002A0743">
        <w:rPr>
          <w:lang w:val="es-AR"/>
        </w:rPr>
        <w:t>a</w:t>
      </w:r>
      <w:r>
        <w:rPr>
          <w:lang w:val="es-AR"/>
        </w:rPr>
        <w:t xml:space="preserve"> y, a</w:t>
      </w:r>
      <w:r w:rsidR="002A0743">
        <w:rPr>
          <w:lang w:val="es-AR"/>
        </w:rPr>
        <w:t xml:space="preserve"> diferencia de las</w:t>
      </w:r>
      <w:r>
        <w:rPr>
          <w:lang w:val="es-AR"/>
        </w:rPr>
        <w:t xml:space="preserve"> redes sociales, search podría continuar estando presente en desktop a largo plazo; la participación de search sobrepasó el 50% (57%) en 2017 y se prevé que esta tendencia llegue a 78% para 2022. Banner display sigue estando bastante por detrás, y tan solo 25% a 30% de las ventas publicitarias estarán basadas en móvil para fines de 2017. No obstante, también está llevándose ganancias en móvil y tendrá 46% de los ingresos publicitarios provenientes de dispositivos móviles para fines de este año.    </w:t>
      </w:r>
    </w:p>
    <w:p w14:paraId="1FB63CE7" w14:textId="77777777" w:rsidR="008C6E5D" w:rsidRPr="007C6135" w:rsidRDefault="008C6E5D" w:rsidP="00805E69">
      <w:pPr>
        <w:spacing w:after="0" w:line="240" w:lineRule="auto"/>
        <w:jc w:val="both"/>
        <w:rPr>
          <w:b/>
          <w:lang w:val="es-AR"/>
        </w:rPr>
      </w:pPr>
    </w:p>
    <w:p w14:paraId="07557CA5" w14:textId="7F490F48" w:rsidR="00C12D4C" w:rsidRPr="00C12D4C" w:rsidRDefault="00C12D4C" w:rsidP="00805E69">
      <w:pPr>
        <w:spacing w:after="0" w:line="240" w:lineRule="auto"/>
        <w:jc w:val="both"/>
        <w:rPr>
          <w:lang w:val="es-AR"/>
        </w:rPr>
      </w:pPr>
      <w:r w:rsidRPr="00C12D4C">
        <w:rPr>
          <w:lang w:val="es-AR"/>
        </w:rPr>
        <w:t xml:space="preserve">Dentro de los formatos digitales, la </w:t>
      </w:r>
      <w:r w:rsidRPr="00D82FCA">
        <w:rPr>
          <w:b/>
          <w:lang w:val="es-AR"/>
        </w:rPr>
        <w:t>publicidad search</w:t>
      </w:r>
      <w:r w:rsidRPr="00C12D4C">
        <w:rPr>
          <w:lang w:val="es-AR"/>
        </w:rPr>
        <w:t xml:space="preserve"> es por lejos el segment</w:t>
      </w:r>
      <w:r w:rsidR="00D82FCA">
        <w:rPr>
          <w:lang w:val="es-AR"/>
        </w:rPr>
        <w:t>o</w:t>
      </w:r>
      <w:r>
        <w:rPr>
          <w:lang w:val="es-AR"/>
        </w:rPr>
        <w:t xml:space="preserve"> de mayor tamaño. Se prevé que las ventas publicitarias en search tengan un crecimient</w:t>
      </w:r>
      <w:r w:rsidR="00D82FCA">
        <w:rPr>
          <w:lang w:val="es-AR"/>
        </w:rPr>
        <w:t>o</w:t>
      </w:r>
      <w:r>
        <w:rPr>
          <w:lang w:val="es-AR"/>
        </w:rPr>
        <w:t xml:space="preserve"> de </w:t>
      </w:r>
      <w:r w:rsidRPr="00D82FCA">
        <w:rPr>
          <w:b/>
          <w:lang w:val="es-AR"/>
        </w:rPr>
        <w:t>+12% en 2018, alcanzando los 113 mil millones de dólares en 2018</w:t>
      </w:r>
      <w:r>
        <w:rPr>
          <w:lang w:val="es-AR"/>
        </w:rPr>
        <w:t>, o ligeramente por debajo de la mitad del total de los presupuestos publicitarios digitales. Esto será impulsado por un crecimiento del 25% en la búsqueda en móvil, mientras que los ingresos por búsqueda en desktop estarán sufriendo una contracción del -4%. L</w:t>
      </w:r>
      <w:r w:rsidR="002A0743">
        <w:rPr>
          <w:lang w:val="es-AR"/>
        </w:rPr>
        <w:t>a</w:t>
      </w:r>
      <w:r>
        <w:rPr>
          <w:lang w:val="es-AR"/>
        </w:rPr>
        <w:t xml:space="preserve"> publicidad en búsqueda en móvil ahora ha traspasado el punto intermedio para posicionarse </w:t>
      </w:r>
      <w:r w:rsidR="00D82FCA">
        <w:rPr>
          <w:lang w:val="es-AR"/>
        </w:rPr>
        <w:t>como la mayor parte de la inversión publicitaria en search, y alcanzará un 63% de la participación del total de la inversión publicitaria en search en 2018. Además, la inversión publicitaria incremental para search por 12 mil millones de dólares prevista para 2018 representa casi 50% del total de los dólares digitales incrementales. Search continua siendo atractiv</w:t>
      </w:r>
      <w:r w:rsidR="002A0743">
        <w:rPr>
          <w:lang w:val="es-AR"/>
        </w:rPr>
        <w:t>a</w:t>
      </w:r>
      <w:r w:rsidR="00D82FCA">
        <w:rPr>
          <w:lang w:val="es-AR"/>
        </w:rPr>
        <w:t xml:space="preserve"> debido a las constantes </w:t>
      </w:r>
      <w:r w:rsidR="00D82FCA" w:rsidRPr="00D82FCA">
        <w:rPr>
          <w:b/>
          <w:lang w:val="es-AR"/>
        </w:rPr>
        <w:t>innovaciones de productos</w:t>
      </w:r>
      <w:r w:rsidR="00D82FCA">
        <w:rPr>
          <w:lang w:val="es-AR"/>
        </w:rPr>
        <w:t xml:space="preserve"> como “cu</w:t>
      </w:r>
      <w:r w:rsidR="002A0743">
        <w:rPr>
          <w:lang w:val="es-AR"/>
        </w:rPr>
        <w:t>stomer match”, “similar audiences</w:t>
      </w:r>
      <w:r w:rsidR="00D82FCA">
        <w:rPr>
          <w:lang w:val="es-AR"/>
        </w:rPr>
        <w:t xml:space="preserve">” y las “remarketing search lists” de Google, junto al crecimiento del search que no es prioritario como las listas de productos de </w:t>
      </w:r>
      <w:r w:rsidR="00D82FCA" w:rsidRPr="00D82FCA">
        <w:rPr>
          <w:b/>
          <w:lang w:val="es-AR"/>
        </w:rPr>
        <w:t>A</w:t>
      </w:r>
      <w:r w:rsidR="00D82FCA">
        <w:rPr>
          <w:b/>
          <w:lang w:val="es-AR"/>
        </w:rPr>
        <w:t>l</w:t>
      </w:r>
      <w:r w:rsidR="00D82FCA" w:rsidRPr="00D82FCA">
        <w:rPr>
          <w:b/>
          <w:lang w:val="es-AR"/>
        </w:rPr>
        <w:t>ibaba</w:t>
      </w:r>
      <w:r w:rsidR="00D82FCA">
        <w:rPr>
          <w:lang w:val="es-AR"/>
        </w:rPr>
        <w:t>. Asimismo, la publicidad en search contin</w:t>
      </w:r>
      <w:r w:rsidR="002A0743">
        <w:rPr>
          <w:lang w:val="es-AR"/>
        </w:rPr>
        <w:t>ú</w:t>
      </w:r>
      <w:r w:rsidR="00D82FCA">
        <w:rPr>
          <w:lang w:val="es-AR"/>
        </w:rPr>
        <w:t xml:space="preserve">a siendo fuerte debido a su posición en el embudo publicitario y la facilidad con la cual la actividad de search puede ser enlazada con los comportamientos del consumidor y las ventas, jugando </w:t>
      </w:r>
      <w:r w:rsidR="002A0743">
        <w:rPr>
          <w:lang w:val="es-AR"/>
        </w:rPr>
        <w:t>un</w:t>
      </w:r>
      <w:r w:rsidR="00D82FCA">
        <w:rPr>
          <w:lang w:val="es-AR"/>
        </w:rPr>
        <w:t xml:space="preserve"> papel central en el e-commerce y </w:t>
      </w:r>
      <w:r w:rsidR="002A0743">
        <w:rPr>
          <w:lang w:val="es-AR"/>
        </w:rPr>
        <w:t xml:space="preserve">en </w:t>
      </w:r>
      <w:r w:rsidR="00D82FCA">
        <w:rPr>
          <w:lang w:val="es-AR"/>
        </w:rPr>
        <w:t xml:space="preserve">los ecosistemas programáticos. Si miramos a futuro, la publicidad en search se mantendrá sólida, con un crecimiento de +10% a nivel anual hasta alcanzar los </w:t>
      </w:r>
      <w:r w:rsidR="00D82FCA" w:rsidRPr="00D82FCA">
        <w:rPr>
          <w:b/>
          <w:lang w:val="es-AR"/>
        </w:rPr>
        <w:t>159 mil millones de dó</w:t>
      </w:r>
      <w:r w:rsidR="00D82FCA">
        <w:rPr>
          <w:b/>
          <w:lang w:val="es-AR"/>
        </w:rPr>
        <w:t>la</w:t>
      </w:r>
      <w:r w:rsidR="00D82FCA" w:rsidRPr="00D82FCA">
        <w:rPr>
          <w:b/>
          <w:lang w:val="es-AR"/>
        </w:rPr>
        <w:t>res en 2022</w:t>
      </w:r>
      <w:r w:rsidR="00D82FCA">
        <w:rPr>
          <w:lang w:val="es-AR"/>
        </w:rPr>
        <w:t>. En ese punto, será mayor que la publicidad en  periódicos, revistas, radio y OOH combinados (y se acercará más al tamaño de la televisión)</w:t>
      </w:r>
      <w:r w:rsidR="002A0743">
        <w:rPr>
          <w:lang w:val="es-AR"/>
        </w:rPr>
        <w:t>.</w:t>
      </w:r>
      <w:r w:rsidR="00D82FCA">
        <w:rPr>
          <w:lang w:val="es-AR"/>
        </w:rPr>
        <w:t xml:space="preserve">  </w:t>
      </w:r>
    </w:p>
    <w:p w14:paraId="759B79A4" w14:textId="77777777" w:rsidR="00C12D4C" w:rsidRPr="00C12D4C" w:rsidRDefault="00C12D4C" w:rsidP="00805E69">
      <w:pPr>
        <w:spacing w:after="0" w:line="240" w:lineRule="auto"/>
        <w:jc w:val="both"/>
        <w:rPr>
          <w:b/>
          <w:lang w:val="es-AR"/>
        </w:rPr>
      </w:pPr>
    </w:p>
    <w:p w14:paraId="1CF21FC4" w14:textId="5343B362" w:rsidR="00D82FCA" w:rsidRPr="00D82FCA" w:rsidRDefault="00D82FCA" w:rsidP="00805E69">
      <w:pPr>
        <w:spacing w:after="0" w:line="240" w:lineRule="auto"/>
        <w:jc w:val="both"/>
        <w:rPr>
          <w:lang w:val="es-AR"/>
        </w:rPr>
      </w:pPr>
      <w:r w:rsidRPr="00D82FCA">
        <w:rPr>
          <w:lang w:val="es-AR"/>
        </w:rPr>
        <w:t xml:space="preserve">Se prevé que </w:t>
      </w:r>
      <w:r w:rsidRPr="003A115D">
        <w:rPr>
          <w:b/>
          <w:lang w:val="es-AR"/>
        </w:rPr>
        <w:t>las ventas publicitarias en las redes sociales</w:t>
      </w:r>
      <w:r w:rsidRPr="00D82FCA">
        <w:rPr>
          <w:lang w:val="es-AR"/>
        </w:rPr>
        <w:t xml:space="preserve"> tengan un crecimiento de +26% en 2018, alcanzando los 57 mil millones de d</w:t>
      </w:r>
      <w:r>
        <w:rPr>
          <w:lang w:val="es-AR"/>
        </w:rPr>
        <w:t xml:space="preserve">ólares, por delante de las previsiones anteriores de +21% de crecimiento. Aunque se prevé que el crecimiento tenga una desaceleración relativa al ritmo del 2017 (+40%), la publicidad en redes sociales se </w:t>
      </w:r>
      <w:r>
        <w:rPr>
          <w:lang w:val="es-AR"/>
        </w:rPr>
        <w:lastRenderedPageBreak/>
        <w:t>mantiene –junto a v</w:t>
      </w:r>
      <w:r w:rsidR="002A0743">
        <w:rPr>
          <w:lang w:val="es-AR"/>
        </w:rPr>
        <w:t>í</w:t>
      </w:r>
      <w:r>
        <w:rPr>
          <w:lang w:val="es-AR"/>
        </w:rPr>
        <w:t>deo- como uno de los segmentos de mayor crecimiento en la publicidad digital. El 85% del total de los dó</w:t>
      </w:r>
      <w:r w:rsidR="003A115D">
        <w:rPr>
          <w:lang w:val="es-AR"/>
        </w:rPr>
        <w:t>la</w:t>
      </w:r>
      <w:r>
        <w:rPr>
          <w:lang w:val="es-AR"/>
        </w:rPr>
        <w:t>res publicitarios en redes sociales ya provienen de los dispositivos móviles, siendo la mayor tasa de cualquier sub</w:t>
      </w:r>
      <w:r w:rsidR="003A115D">
        <w:rPr>
          <w:lang w:val="es-AR"/>
        </w:rPr>
        <w:t>-</w:t>
      </w:r>
      <w:r>
        <w:rPr>
          <w:lang w:val="es-AR"/>
        </w:rPr>
        <w:t>formato digital. La tasa de crecimiento del 26% de las redes sociales en 2018 representaría 12 mil millones de dó</w:t>
      </w:r>
      <w:r w:rsidR="003A115D">
        <w:rPr>
          <w:lang w:val="es-AR"/>
        </w:rPr>
        <w:t>lares</w:t>
      </w:r>
      <w:r>
        <w:rPr>
          <w:lang w:val="es-AR"/>
        </w:rPr>
        <w:t xml:space="preserve"> en inversión incremental. Esto es casi </w:t>
      </w:r>
      <w:r w:rsidR="003A115D">
        <w:rPr>
          <w:lang w:val="es-AR"/>
        </w:rPr>
        <w:t>tanto como lo que podemos observar en la publicidad en search, a pesar de que las redes sociales representan menos de la mitad del tamaño total. El crecimiento proviene del aumento en el uso y penetración de redes sociales, así como también de las innovaciones en los productos, incluyendo  social video, cargas publicitarias cada vez más densas</w:t>
      </w:r>
      <w:r w:rsidR="002A0743">
        <w:rPr>
          <w:lang w:val="es-AR"/>
        </w:rPr>
        <w:t xml:space="preserve"> en las redes sociales</w:t>
      </w:r>
      <w:r w:rsidR="003A115D">
        <w:rPr>
          <w:lang w:val="es-AR"/>
        </w:rPr>
        <w:t xml:space="preserve"> y nuevos jugadores de rápido crecimiento en el nicho. </w:t>
      </w:r>
    </w:p>
    <w:p w14:paraId="2D4B1DFF" w14:textId="77777777" w:rsidR="008C6E5D" w:rsidRPr="00D82FCA" w:rsidRDefault="008C6E5D" w:rsidP="00805E69">
      <w:pPr>
        <w:spacing w:after="0" w:line="240" w:lineRule="auto"/>
        <w:jc w:val="both"/>
        <w:rPr>
          <w:lang w:val="es-AR"/>
        </w:rPr>
      </w:pPr>
    </w:p>
    <w:p w14:paraId="178BD6A3" w14:textId="6B925F5C" w:rsidR="003A115D" w:rsidRDefault="003A115D" w:rsidP="00805E69">
      <w:pPr>
        <w:spacing w:after="0" w:line="240" w:lineRule="auto"/>
        <w:jc w:val="both"/>
        <w:rPr>
          <w:lang w:val="es-AR"/>
        </w:rPr>
      </w:pPr>
      <w:r w:rsidRPr="003A115D">
        <w:rPr>
          <w:lang w:val="es-AR"/>
        </w:rPr>
        <w:t xml:space="preserve">Llama la atención que </w:t>
      </w:r>
      <w:r w:rsidRPr="003A115D">
        <w:rPr>
          <w:b/>
          <w:lang w:val="es-AR"/>
        </w:rPr>
        <w:t>search y social representan 70% de la inversi</w:t>
      </w:r>
      <w:r>
        <w:rPr>
          <w:b/>
          <w:lang w:val="es-AR"/>
        </w:rPr>
        <w:t>ó</w:t>
      </w:r>
      <w:r w:rsidR="002A0743">
        <w:rPr>
          <w:b/>
          <w:lang w:val="es-AR"/>
        </w:rPr>
        <w:t>n publicitaria digital</w:t>
      </w:r>
      <w:r w:rsidRPr="003A115D">
        <w:rPr>
          <w:b/>
          <w:lang w:val="es-AR"/>
        </w:rPr>
        <w:t xml:space="preserve"> y más de la totalidad de los dólares incrementales a </w:t>
      </w:r>
      <w:r>
        <w:rPr>
          <w:b/>
          <w:lang w:val="es-AR"/>
        </w:rPr>
        <w:t>l</w:t>
      </w:r>
      <w:r w:rsidRPr="003A115D">
        <w:rPr>
          <w:b/>
          <w:lang w:val="es-AR"/>
        </w:rPr>
        <w:t xml:space="preserve">o </w:t>
      </w:r>
      <w:r>
        <w:rPr>
          <w:b/>
          <w:lang w:val="es-AR"/>
        </w:rPr>
        <w:t>la</w:t>
      </w:r>
      <w:r w:rsidRPr="003A115D">
        <w:rPr>
          <w:b/>
          <w:lang w:val="es-AR"/>
        </w:rPr>
        <w:t>rgo de todos los otros formatos de medios</w:t>
      </w:r>
      <w:r>
        <w:rPr>
          <w:lang w:val="es-AR"/>
        </w:rPr>
        <w:t xml:space="preserve">. </w:t>
      </w:r>
      <w:r w:rsidRPr="003A115D">
        <w:rPr>
          <w:lang w:val="es-AR"/>
        </w:rPr>
        <w:t>V</w:t>
      </w:r>
      <w:r w:rsidR="002A0743">
        <w:rPr>
          <w:lang w:val="es-AR"/>
        </w:rPr>
        <w:t>í</w:t>
      </w:r>
      <w:r w:rsidRPr="003A115D">
        <w:rPr>
          <w:lang w:val="es-AR"/>
        </w:rPr>
        <w:t xml:space="preserve">deo y OOH son los únicos formatos que apenas vieron </w:t>
      </w:r>
      <w:r w:rsidR="002A0743">
        <w:rPr>
          <w:lang w:val="es-AR"/>
        </w:rPr>
        <w:t xml:space="preserve">un </w:t>
      </w:r>
      <w:r w:rsidRPr="003A115D">
        <w:rPr>
          <w:lang w:val="es-AR"/>
        </w:rPr>
        <w:t>crecimiento positiv</w:t>
      </w:r>
      <w:r w:rsidR="002A0743">
        <w:rPr>
          <w:lang w:val="es-AR"/>
        </w:rPr>
        <w:t>o</w:t>
      </w:r>
      <w:r w:rsidRPr="003A115D">
        <w:rPr>
          <w:lang w:val="es-AR"/>
        </w:rPr>
        <w:t xml:space="preserve"> en 2017 (los medios offline y los decrecientes formatos d</w:t>
      </w:r>
      <w:r>
        <w:rPr>
          <w:lang w:val="es-AR"/>
        </w:rPr>
        <w:t>i</w:t>
      </w:r>
      <w:r w:rsidRPr="003A115D">
        <w:rPr>
          <w:lang w:val="es-AR"/>
        </w:rPr>
        <w:t xml:space="preserve">gitales como banner display son perdedores netos; search y social junto a digital video se mantienen como el motor de crecimiento para la </w:t>
      </w:r>
      <w:r>
        <w:rPr>
          <w:lang w:val="es-AR"/>
        </w:rPr>
        <w:t>inversión publicitaria global)</w:t>
      </w:r>
    </w:p>
    <w:p w14:paraId="62548E1F" w14:textId="77777777" w:rsidR="003A115D" w:rsidRDefault="003A115D" w:rsidP="00805E69">
      <w:pPr>
        <w:spacing w:after="0" w:line="240" w:lineRule="auto"/>
        <w:jc w:val="both"/>
        <w:rPr>
          <w:lang w:val="es-AR"/>
        </w:rPr>
      </w:pPr>
    </w:p>
    <w:p w14:paraId="6BB9D783" w14:textId="60DD1E64" w:rsidR="008155B2" w:rsidRPr="003A115D" w:rsidRDefault="003A115D" w:rsidP="00805E69">
      <w:pPr>
        <w:spacing w:after="0" w:line="240" w:lineRule="auto"/>
        <w:jc w:val="both"/>
        <w:rPr>
          <w:lang w:val="es-AR"/>
        </w:rPr>
      </w:pPr>
      <w:r w:rsidRPr="003A115D">
        <w:rPr>
          <w:lang w:val="es-AR"/>
        </w:rPr>
        <w:t xml:space="preserve"> </w:t>
      </w:r>
    </w:p>
    <w:p w14:paraId="7DF29C1D" w14:textId="6ECB67A8" w:rsidR="008155B2" w:rsidRPr="007C6135" w:rsidRDefault="007C6135" w:rsidP="00805E69">
      <w:pPr>
        <w:spacing w:after="0" w:line="240" w:lineRule="auto"/>
        <w:jc w:val="both"/>
        <w:rPr>
          <w:b/>
          <w:lang w:val="es-AR"/>
        </w:rPr>
      </w:pPr>
      <w:r w:rsidRPr="005E2DAD">
        <w:rPr>
          <w:b/>
          <w:lang w:val="es-AR"/>
        </w:rPr>
        <w:t>La publicidad en v</w:t>
      </w:r>
      <w:r w:rsidR="002A0743">
        <w:rPr>
          <w:b/>
          <w:lang w:val="es-AR"/>
        </w:rPr>
        <w:t>í</w:t>
      </w:r>
      <w:r w:rsidRPr="005E2DAD">
        <w:rPr>
          <w:b/>
          <w:lang w:val="es-AR"/>
        </w:rPr>
        <w:t>deo</w:t>
      </w:r>
      <w:r w:rsidRPr="007C6135">
        <w:rPr>
          <w:lang w:val="es-AR"/>
        </w:rPr>
        <w:t xml:space="preserve"> est</w:t>
      </w:r>
      <w:r w:rsidR="005E2DAD">
        <w:rPr>
          <w:lang w:val="es-AR"/>
        </w:rPr>
        <w:t>á</w:t>
      </w:r>
      <w:r w:rsidRPr="007C6135">
        <w:rPr>
          <w:lang w:val="es-AR"/>
        </w:rPr>
        <w:t xml:space="preserve"> creciendo al mismo ritmo que las redes sociales; se prev</w:t>
      </w:r>
      <w:r>
        <w:rPr>
          <w:lang w:val="es-AR"/>
        </w:rPr>
        <w:t>é que el crecimiento para 2018 sea de +29%,</w:t>
      </w:r>
      <w:r w:rsidR="005E2DAD">
        <w:rPr>
          <w:lang w:val="es-AR"/>
        </w:rPr>
        <w:t xml:space="preserve"> </w:t>
      </w:r>
      <w:r>
        <w:rPr>
          <w:lang w:val="es-AR"/>
        </w:rPr>
        <w:t>lo cual generará una inversión publicitaria total en video de 29 mil millones  de dólares (excluye</w:t>
      </w:r>
      <w:r w:rsidR="005E2DAD">
        <w:rPr>
          <w:lang w:val="es-AR"/>
        </w:rPr>
        <w:t>nd</w:t>
      </w:r>
      <w:r>
        <w:rPr>
          <w:lang w:val="es-AR"/>
        </w:rPr>
        <w:t>o las ventas publicitarias de video en redes sociales, que están incluidas en “social”). Mientras que vídeo en desktop aún mostrar</w:t>
      </w:r>
      <w:r w:rsidR="002A0743">
        <w:rPr>
          <w:lang w:val="es-AR"/>
        </w:rPr>
        <w:t>á</w:t>
      </w:r>
      <w:r>
        <w:rPr>
          <w:lang w:val="es-AR"/>
        </w:rPr>
        <w:t xml:space="preserve"> crecimiento de +12%, el motor para la inversión publicitaria en v</w:t>
      </w:r>
      <w:r w:rsidR="002A0743">
        <w:rPr>
          <w:lang w:val="es-AR"/>
        </w:rPr>
        <w:t>í</w:t>
      </w:r>
      <w:r>
        <w:rPr>
          <w:lang w:val="es-AR"/>
        </w:rPr>
        <w:t xml:space="preserve">deo online es móvil (+48% de crecimiento esperado para </w:t>
      </w:r>
      <w:r w:rsidR="005E2DAD">
        <w:rPr>
          <w:lang w:val="es-AR"/>
        </w:rPr>
        <w:t xml:space="preserve">lograr que la </w:t>
      </w:r>
      <w:r>
        <w:rPr>
          <w:lang w:val="es-AR"/>
        </w:rPr>
        <w:t>participación móvil de la inversión</w:t>
      </w:r>
      <w:r w:rsidR="005E2DAD">
        <w:rPr>
          <w:lang w:val="es-AR"/>
        </w:rPr>
        <w:t xml:space="preserve"> en vídeo sea de 52% en 2018, sobrepasando la inversión de v</w:t>
      </w:r>
      <w:r w:rsidR="002A0743">
        <w:rPr>
          <w:lang w:val="es-AR"/>
        </w:rPr>
        <w:t>í</w:t>
      </w:r>
      <w:r w:rsidR="005E2DAD">
        <w:rPr>
          <w:lang w:val="es-AR"/>
        </w:rPr>
        <w:t>deo en desktop por prime</w:t>
      </w:r>
      <w:r w:rsidR="002A0743">
        <w:rPr>
          <w:lang w:val="es-AR"/>
        </w:rPr>
        <w:t>ra vez). El constante desempeño</w:t>
      </w:r>
      <w:r w:rsidR="005E2DAD">
        <w:rPr>
          <w:lang w:val="es-AR"/>
        </w:rPr>
        <w:t xml:space="preserve"> exitoso de v</w:t>
      </w:r>
      <w:r w:rsidR="002A0743">
        <w:rPr>
          <w:lang w:val="es-AR"/>
        </w:rPr>
        <w:t>í</w:t>
      </w:r>
      <w:r w:rsidR="005E2DAD">
        <w:rPr>
          <w:lang w:val="es-AR"/>
        </w:rPr>
        <w:t xml:space="preserve">deo en móvil está impulsado por las mejoras en la experiencia de vídeo móvil, </w:t>
      </w:r>
      <w:r w:rsidR="0042227F">
        <w:rPr>
          <w:lang w:val="es-AR"/>
        </w:rPr>
        <w:t xml:space="preserve">por </w:t>
      </w:r>
      <w:r w:rsidR="005E2DAD">
        <w:rPr>
          <w:lang w:val="es-AR"/>
        </w:rPr>
        <w:t xml:space="preserve">el continuo crecimiento de la penetración de la banda ancha inalámbrica y </w:t>
      </w:r>
      <w:r w:rsidR="0042227F">
        <w:rPr>
          <w:lang w:val="es-AR"/>
        </w:rPr>
        <w:t xml:space="preserve">por </w:t>
      </w:r>
      <w:r w:rsidR="005E2DAD">
        <w:rPr>
          <w:lang w:val="es-AR"/>
        </w:rPr>
        <w:t>un mayor foco en el contenido de v</w:t>
      </w:r>
      <w:r w:rsidR="0042227F">
        <w:rPr>
          <w:lang w:val="es-AR"/>
        </w:rPr>
        <w:t>í</w:t>
      </w:r>
      <w:r w:rsidR="005E2DAD">
        <w:rPr>
          <w:lang w:val="es-AR"/>
        </w:rPr>
        <w:t>deo móvil por parte de los editores. Para 2022 la publicidad de v</w:t>
      </w:r>
      <w:r w:rsidR="0042227F">
        <w:rPr>
          <w:lang w:val="es-AR"/>
        </w:rPr>
        <w:t>í</w:t>
      </w:r>
      <w:r w:rsidR="005E2DAD">
        <w:rPr>
          <w:lang w:val="es-AR"/>
        </w:rPr>
        <w:t>deo online habrá sobrepasado la marca de los 60 mil millones de dólares a nivel global, y v</w:t>
      </w:r>
      <w:r w:rsidR="0042227F">
        <w:rPr>
          <w:lang w:val="es-AR"/>
        </w:rPr>
        <w:t>í</w:t>
      </w:r>
      <w:r w:rsidR="005E2DAD">
        <w:rPr>
          <w:lang w:val="es-AR"/>
        </w:rPr>
        <w:t>deo digital representará más que el 25% del total de la audiencia de v</w:t>
      </w:r>
      <w:r w:rsidR="0042227F">
        <w:rPr>
          <w:lang w:val="es-AR"/>
        </w:rPr>
        <w:t>í</w:t>
      </w:r>
      <w:r w:rsidR="005E2DAD">
        <w:rPr>
          <w:lang w:val="es-AR"/>
        </w:rPr>
        <w:t>deo (TV y v</w:t>
      </w:r>
      <w:r w:rsidR="0042227F">
        <w:rPr>
          <w:lang w:val="es-AR"/>
        </w:rPr>
        <w:t>í</w:t>
      </w:r>
      <w:r w:rsidR="005E2DAD">
        <w:rPr>
          <w:lang w:val="es-AR"/>
        </w:rPr>
        <w:t xml:space="preserve">deo online combinadas).  </w:t>
      </w:r>
      <w:r>
        <w:rPr>
          <w:lang w:val="es-AR"/>
        </w:rPr>
        <w:t xml:space="preserve">  </w:t>
      </w:r>
      <w:r w:rsidR="008155B2" w:rsidRPr="007C6135">
        <w:rPr>
          <w:lang w:val="es-AR"/>
        </w:rPr>
        <w:t xml:space="preserve"> </w:t>
      </w:r>
    </w:p>
    <w:p w14:paraId="3410814D" w14:textId="77777777" w:rsidR="008C6E5D" w:rsidRPr="007C6135" w:rsidRDefault="008C6E5D" w:rsidP="00805E69">
      <w:pPr>
        <w:spacing w:after="0" w:line="240" w:lineRule="auto"/>
        <w:jc w:val="both"/>
        <w:rPr>
          <w:lang w:val="es-AR"/>
        </w:rPr>
      </w:pPr>
    </w:p>
    <w:p w14:paraId="661AD068" w14:textId="3E82C4DB" w:rsidR="008155B2" w:rsidRPr="00B256F4" w:rsidRDefault="005E2DAD" w:rsidP="00805E69">
      <w:pPr>
        <w:spacing w:after="0" w:line="240" w:lineRule="auto"/>
        <w:jc w:val="both"/>
        <w:rPr>
          <w:lang w:val="es-AR"/>
        </w:rPr>
      </w:pPr>
      <w:r w:rsidRPr="005E2DAD">
        <w:rPr>
          <w:lang w:val="es-AR"/>
        </w:rPr>
        <w:t xml:space="preserve">A diferencia de search, video y redes sociales, </w:t>
      </w:r>
      <w:r w:rsidRPr="00B256F4">
        <w:rPr>
          <w:b/>
          <w:lang w:val="es-AR"/>
        </w:rPr>
        <w:t>las ventas publicitarias de los banners estáticos y otros formatos publicitarios digitales (publicidad email, clasificados online, etc</w:t>
      </w:r>
      <w:r w:rsidR="00B256F4">
        <w:rPr>
          <w:b/>
          <w:lang w:val="es-AR"/>
        </w:rPr>
        <w:t>.</w:t>
      </w:r>
      <w:r w:rsidRPr="00B256F4">
        <w:rPr>
          <w:b/>
          <w:lang w:val="es-AR"/>
        </w:rPr>
        <w:t>) se están estancando</w:t>
      </w:r>
      <w:r>
        <w:rPr>
          <w:lang w:val="es-AR"/>
        </w:rPr>
        <w:t>, y se prevé que tengan una reducción de apro</w:t>
      </w:r>
      <w:r w:rsidR="00B256F4">
        <w:rPr>
          <w:lang w:val="es-AR"/>
        </w:rPr>
        <w:t>x</w:t>
      </w:r>
      <w:r>
        <w:rPr>
          <w:lang w:val="es-AR"/>
        </w:rPr>
        <w:t>imadamente -7% en 2018. No solo las marcas han encontrado mejores resultados con el uso de otros formatos como se</w:t>
      </w:r>
      <w:r w:rsidR="00B256F4">
        <w:rPr>
          <w:lang w:val="es-AR"/>
        </w:rPr>
        <w:t>arch</w:t>
      </w:r>
      <w:r>
        <w:rPr>
          <w:lang w:val="es-AR"/>
        </w:rPr>
        <w:t>, social y v</w:t>
      </w:r>
      <w:r w:rsidR="0042227F">
        <w:rPr>
          <w:lang w:val="es-AR"/>
        </w:rPr>
        <w:t>í</w:t>
      </w:r>
      <w:r>
        <w:rPr>
          <w:lang w:val="es-AR"/>
        </w:rPr>
        <w:t>deo, sino que el inventario de display también está pasando por una fase de decrecimiento. El bloqueo de los anuncios se está empeorando año tras año, y</w:t>
      </w:r>
      <w:r w:rsidR="00B256F4">
        <w:rPr>
          <w:lang w:val="es-AR"/>
        </w:rPr>
        <w:t xml:space="preserve"> los </w:t>
      </w:r>
      <w:r>
        <w:rPr>
          <w:lang w:val="es-AR"/>
        </w:rPr>
        <w:t xml:space="preserve"> </w:t>
      </w:r>
      <w:r w:rsidR="00B256F4" w:rsidRPr="002B5E0A">
        <w:rPr>
          <w:lang w:val="es-AR"/>
        </w:rPr>
        <w:t>standard banner</w:t>
      </w:r>
      <w:r w:rsidR="002B5E0A">
        <w:rPr>
          <w:lang w:val="es-AR"/>
        </w:rPr>
        <w:t>s de</w:t>
      </w:r>
      <w:bookmarkStart w:id="2" w:name="_GoBack"/>
      <w:bookmarkEnd w:id="2"/>
      <w:r w:rsidR="00B256F4" w:rsidRPr="002B5E0A">
        <w:rPr>
          <w:lang w:val="es-AR"/>
        </w:rPr>
        <w:t xml:space="preserve"> real estate</w:t>
      </w:r>
      <w:r w:rsidR="00B256F4">
        <w:rPr>
          <w:lang w:val="es-AR"/>
        </w:rPr>
        <w:t xml:space="preserve"> están siendo reemplazados por espacio de videos out-stream “in-read”. </w:t>
      </w:r>
    </w:p>
    <w:p w14:paraId="78D80503" w14:textId="77777777" w:rsidR="0042227F" w:rsidRDefault="0042227F" w:rsidP="00805E69">
      <w:pPr>
        <w:pStyle w:val="Heading2"/>
        <w:jc w:val="both"/>
        <w:rPr>
          <w:lang w:val="es-AR"/>
        </w:rPr>
      </w:pPr>
    </w:p>
    <w:p w14:paraId="30792B05" w14:textId="4B8E4F3B" w:rsidR="0033043C" w:rsidRPr="00C12B7D" w:rsidRDefault="00C12B7D" w:rsidP="00805E69">
      <w:pPr>
        <w:pStyle w:val="Heading2"/>
        <w:jc w:val="both"/>
        <w:rPr>
          <w:lang w:val="es-AR"/>
        </w:rPr>
      </w:pPr>
      <w:r w:rsidRPr="00C12B7D">
        <w:rPr>
          <w:lang w:val="es-AR"/>
        </w:rPr>
        <w:t>Los formatos digitales endémicos capturan todo el crecimiento</w:t>
      </w:r>
    </w:p>
    <w:p w14:paraId="2815D3E4" w14:textId="6C6FD816" w:rsidR="00B256F4" w:rsidRPr="00B256F4" w:rsidRDefault="00B256F4" w:rsidP="00805E69">
      <w:pPr>
        <w:spacing w:after="0"/>
        <w:jc w:val="both"/>
        <w:rPr>
          <w:lang w:val="es-AR"/>
        </w:rPr>
      </w:pPr>
      <w:r w:rsidRPr="00B256F4">
        <w:rPr>
          <w:lang w:val="es-AR"/>
        </w:rPr>
        <w:t>De los 30 mil millones de d</w:t>
      </w:r>
      <w:r>
        <w:rPr>
          <w:lang w:val="es-AR"/>
        </w:rPr>
        <w:t>ólares de inversión publicitaria adicional en medios digitales en 2017, 14 mil millones de dólares se destinaron a búsqueda paga (+16%) y 13</w:t>
      </w:r>
      <w:r w:rsidR="0042227F">
        <w:rPr>
          <w:lang w:val="es-AR"/>
        </w:rPr>
        <w:t xml:space="preserve"> </w:t>
      </w:r>
      <w:r>
        <w:rPr>
          <w:lang w:val="es-AR"/>
        </w:rPr>
        <w:t xml:space="preserve">mil millones de dólares fueron a las redes sociales (+40%). </w:t>
      </w:r>
      <w:r w:rsidRPr="00B256F4">
        <w:rPr>
          <w:b/>
          <w:lang w:val="es-AR"/>
        </w:rPr>
        <w:t>Los formatos endémicos  por lo tanto captaron el 90% de los dólares digitales adicionales este año.</w:t>
      </w:r>
      <w:r>
        <w:rPr>
          <w:lang w:val="es-AR"/>
        </w:rPr>
        <w:t xml:space="preserve"> Otros cinco mil millones de dólares fueron hacia v</w:t>
      </w:r>
      <w:r w:rsidR="0042227F">
        <w:rPr>
          <w:lang w:val="es-AR"/>
        </w:rPr>
        <w:t>í</w:t>
      </w:r>
      <w:r>
        <w:rPr>
          <w:lang w:val="es-AR"/>
        </w:rPr>
        <w:t xml:space="preserve">deo digital (+30%), mientras que los banners estáticos y otros formatos perdieron en estimado de 2 mil millones de </w:t>
      </w:r>
      <w:r w:rsidR="00B36E34">
        <w:rPr>
          <w:lang w:val="es-AR"/>
        </w:rPr>
        <w:t>dólares</w:t>
      </w:r>
      <w:r>
        <w:rPr>
          <w:lang w:val="es-AR"/>
        </w:rPr>
        <w:t xml:space="preserve"> (-3,5%).  </w:t>
      </w:r>
    </w:p>
    <w:p w14:paraId="3934AF12" w14:textId="057DAF7E" w:rsidR="0033043C" w:rsidRPr="00805E69" w:rsidRDefault="0033043C" w:rsidP="00805E69">
      <w:pPr>
        <w:spacing w:after="0"/>
        <w:jc w:val="both"/>
        <w:rPr>
          <w:lang w:val="es-AR"/>
        </w:rPr>
      </w:pPr>
      <w:r w:rsidRPr="00805E69">
        <w:rPr>
          <w:lang w:val="es-AR"/>
        </w:rPr>
        <w:t xml:space="preserve"> </w:t>
      </w:r>
    </w:p>
    <w:p w14:paraId="7CE98CA3" w14:textId="01789273" w:rsidR="008C6E5D" w:rsidRPr="00B256F4" w:rsidRDefault="00B256F4" w:rsidP="00805E69">
      <w:pPr>
        <w:spacing w:after="0"/>
        <w:jc w:val="both"/>
        <w:rPr>
          <w:lang w:val="es-AR"/>
        </w:rPr>
      </w:pPr>
      <w:r w:rsidRPr="00B256F4">
        <w:rPr>
          <w:b/>
          <w:lang w:val="es-AR"/>
        </w:rPr>
        <w:t>Por otra parte, la monetización publicitaria del contenido editorial a tra</w:t>
      </w:r>
      <w:r>
        <w:rPr>
          <w:b/>
          <w:lang w:val="es-AR"/>
        </w:rPr>
        <w:t>vés de formatos en display –</w:t>
      </w:r>
      <w:r w:rsidR="0042227F">
        <w:rPr>
          <w:b/>
          <w:lang w:val="es-AR"/>
        </w:rPr>
        <w:t xml:space="preserve"> </w:t>
      </w:r>
      <w:r>
        <w:rPr>
          <w:lang w:val="es-AR"/>
        </w:rPr>
        <w:t>banner y en menor medida v</w:t>
      </w:r>
      <w:r w:rsidR="0042227F">
        <w:rPr>
          <w:lang w:val="es-AR"/>
        </w:rPr>
        <w:t>í</w:t>
      </w:r>
      <w:r>
        <w:rPr>
          <w:lang w:val="es-AR"/>
        </w:rPr>
        <w:t xml:space="preserve">deo digital y música- está siendo </w:t>
      </w:r>
      <w:r w:rsidRPr="00A25069">
        <w:rPr>
          <w:b/>
          <w:lang w:val="es-AR"/>
        </w:rPr>
        <w:t>obstaculizada por varios factores</w:t>
      </w:r>
      <w:r>
        <w:rPr>
          <w:lang w:val="es-AR"/>
        </w:rPr>
        <w:t>. Primero, los consumidores están cada vez más optando por opciones pagas sin anuncios pa</w:t>
      </w:r>
      <w:r w:rsidR="0042227F">
        <w:rPr>
          <w:lang w:val="es-AR"/>
        </w:rPr>
        <w:t xml:space="preserve">ra el entretenimiento en vídeo, </w:t>
      </w:r>
      <w:r>
        <w:rPr>
          <w:lang w:val="es-AR"/>
        </w:rPr>
        <w:t>m</w:t>
      </w:r>
      <w:r w:rsidR="0042227F">
        <w:rPr>
          <w:lang w:val="es-AR"/>
        </w:rPr>
        <w:t>úsica</w:t>
      </w:r>
      <w:r w:rsidR="00A25069">
        <w:rPr>
          <w:lang w:val="es-AR"/>
        </w:rPr>
        <w:t xml:space="preserve"> y también a veces con las noticias. Hulu, por ejemplo, ya no ofrece una visualización gratis y con anuncios en los EEUU, sino que cuenta con un plan “</w:t>
      </w:r>
      <w:r w:rsidR="0042227F">
        <w:rPr>
          <w:lang w:val="es-AR"/>
        </w:rPr>
        <w:t xml:space="preserve">limitado y con </w:t>
      </w:r>
      <w:r w:rsidR="00A25069">
        <w:rPr>
          <w:lang w:val="es-AR"/>
        </w:rPr>
        <w:t>comercial</w:t>
      </w:r>
      <w:r w:rsidR="0042227F">
        <w:rPr>
          <w:lang w:val="es-AR"/>
        </w:rPr>
        <w:t>es</w:t>
      </w:r>
      <w:r w:rsidR="00A25069">
        <w:rPr>
          <w:lang w:val="es-AR"/>
        </w:rPr>
        <w:t>” (8 dólares por mes) y un plan “</w:t>
      </w:r>
      <w:r w:rsidR="0042227F">
        <w:rPr>
          <w:lang w:val="es-AR"/>
        </w:rPr>
        <w:t xml:space="preserve">sin </w:t>
      </w:r>
      <w:r w:rsidR="00A25069">
        <w:rPr>
          <w:lang w:val="es-AR"/>
        </w:rPr>
        <w:t>comercial</w:t>
      </w:r>
      <w:r w:rsidR="0042227F">
        <w:rPr>
          <w:lang w:val="es-AR"/>
        </w:rPr>
        <w:t>es</w:t>
      </w:r>
      <w:r w:rsidR="00A25069">
        <w:rPr>
          <w:lang w:val="es-AR"/>
        </w:rPr>
        <w:t xml:space="preserve">” </w:t>
      </w:r>
      <w:r w:rsidR="0042227F">
        <w:rPr>
          <w:lang w:val="es-AR"/>
        </w:rPr>
        <w:t xml:space="preserve">desprovisto de </w:t>
      </w:r>
      <w:r w:rsidR="00A25069">
        <w:rPr>
          <w:lang w:val="es-AR"/>
        </w:rPr>
        <w:t>aviso</w:t>
      </w:r>
      <w:r w:rsidR="0042227F">
        <w:rPr>
          <w:lang w:val="es-AR"/>
        </w:rPr>
        <w:t>s</w:t>
      </w:r>
      <w:r w:rsidR="00A25069">
        <w:rPr>
          <w:lang w:val="es-AR"/>
        </w:rPr>
        <w:t xml:space="preserve"> (12 dólares por mes), lo cual se está volviendo cada vez más popular. Otros actores en el streaming online que siempre  contaron con anuncios han lanzado </w:t>
      </w:r>
      <w:r w:rsidR="0042227F">
        <w:rPr>
          <w:lang w:val="es-AR"/>
        </w:rPr>
        <w:t xml:space="preserve">recientemente </w:t>
      </w:r>
      <w:r w:rsidR="00A25069">
        <w:rPr>
          <w:lang w:val="es-AR"/>
        </w:rPr>
        <w:t>ofertas basadas en suscripciones sin comerciales, p.e. Pandora y YouTube (“Red”). Los proveedores de contenido (v</w:t>
      </w:r>
      <w:r w:rsidR="0042227F">
        <w:rPr>
          <w:lang w:val="es-AR"/>
        </w:rPr>
        <w:t>í</w:t>
      </w:r>
      <w:r w:rsidR="00A25069">
        <w:rPr>
          <w:lang w:val="es-AR"/>
        </w:rPr>
        <w:t xml:space="preserve">deo, música, noticias) siguen esa ruta en parte para evitar el bloqueo de los anuncios.   </w:t>
      </w:r>
    </w:p>
    <w:p w14:paraId="09970240" w14:textId="77777777" w:rsidR="0042227F" w:rsidRDefault="0042227F" w:rsidP="00805E69">
      <w:pPr>
        <w:spacing w:after="0"/>
        <w:jc w:val="both"/>
        <w:rPr>
          <w:b/>
          <w:lang w:val="es-AR"/>
        </w:rPr>
      </w:pPr>
    </w:p>
    <w:p w14:paraId="504E43D5" w14:textId="6E5DDCFC" w:rsidR="00A25069" w:rsidRPr="007C6135" w:rsidRDefault="00A25069" w:rsidP="00805E69">
      <w:pPr>
        <w:spacing w:after="0"/>
        <w:jc w:val="both"/>
        <w:rPr>
          <w:lang w:val="es-AR"/>
        </w:rPr>
      </w:pPr>
      <w:r w:rsidRPr="003C6F3D">
        <w:rPr>
          <w:b/>
          <w:lang w:val="es-AR"/>
        </w:rPr>
        <w:t xml:space="preserve">El AdBlocking </w:t>
      </w:r>
      <w:r w:rsidR="003C6F3D">
        <w:rPr>
          <w:lang w:val="es-AR"/>
        </w:rPr>
        <w:t xml:space="preserve">era </w:t>
      </w:r>
      <w:r>
        <w:rPr>
          <w:lang w:val="es-AR"/>
        </w:rPr>
        <w:t xml:space="preserve">utilizado por </w:t>
      </w:r>
      <w:r w:rsidR="003C6F3D">
        <w:rPr>
          <w:lang w:val="es-AR"/>
        </w:rPr>
        <w:t>un 11% de la</w:t>
      </w:r>
      <w:r>
        <w:rPr>
          <w:lang w:val="es-AR"/>
        </w:rPr>
        <w:t xml:space="preserve"> población global de internet hacia fines del 2016 según Pagefair. Eso representó 615 m</w:t>
      </w:r>
      <w:r w:rsidR="0042227F">
        <w:rPr>
          <w:lang w:val="es-AR"/>
        </w:rPr>
        <w:t>illones de dispositivos totales</w:t>
      </w:r>
      <w:r>
        <w:rPr>
          <w:lang w:val="es-AR"/>
        </w:rPr>
        <w:t xml:space="preserve"> y un aumento de 30% comparado con el 2015. El bloqueo de los anuncios en móvil también está en auge y hay más dispositivos móviles a nivel global que utilizan adblockers que dispositivos desktop. Sin embargo, la popularidad de  la tecnología del bloqueo de anuncios varía considerablemente por país, con 18% de usuarios desktop y solo 1% de usuarios móviles en los EEUU que emplean esta tecnología. Casi un 75% de los usuarios de internet afirman que se abandonan los sitios web que solicitan deshabilitar el bloqueo de anuncios</w:t>
      </w:r>
      <w:r w:rsidR="003C6F3D">
        <w:rPr>
          <w:lang w:val="es-AR"/>
        </w:rPr>
        <w:t xml:space="preserve">, </w:t>
      </w:r>
      <w:r w:rsidR="0042227F">
        <w:rPr>
          <w:lang w:val="es-AR"/>
        </w:rPr>
        <w:t xml:space="preserve">subrayando </w:t>
      </w:r>
      <w:r w:rsidR="003C6F3D">
        <w:rPr>
          <w:lang w:val="es-AR"/>
        </w:rPr>
        <w:t xml:space="preserve">la falta de influencia que actualmente muestran algunos editores y la tentación de buscar modelos comerciales alternativos, incluyendo  las suscripciones (si el contenido es lo suficientemente fuerte). Las “buenas” noticias son que el bloqueo de anuncios es principalmente un tema relacionado con el entorno de la navegación, y la migración hacia el uso digital centrado en móvil coincide con la migración hacia un uso digital en aplicaciones que </w:t>
      </w:r>
      <w:r w:rsidR="0042227F">
        <w:rPr>
          <w:lang w:val="es-AR"/>
        </w:rPr>
        <w:t>es mayoritariamente inmune a</w:t>
      </w:r>
      <w:r w:rsidR="003C6F3D">
        <w:rPr>
          <w:lang w:val="es-AR"/>
        </w:rPr>
        <w:t xml:space="preserve"> los bloqueadores de anuncios. Dado que el desktop representa una participación en retroceso para la vida digital de los consumidores, el adblocking podría tornarse un tema menor en el futuro para los proveedores de contenido que buscarán la manera de lograr una posición monetizable en la pantalla principal de los smartphones de los consumidores.    </w:t>
      </w:r>
    </w:p>
    <w:p w14:paraId="656F92F7" w14:textId="77777777" w:rsidR="008C6E5D" w:rsidRPr="007C6135" w:rsidRDefault="008C6E5D" w:rsidP="00805E69">
      <w:pPr>
        <w:spacing w:after="0"/>
        <w:jc w:val="both"/>
        <w:rPr>
          <w:lang w:val="es-AR"/>
        </w:rPr>
      </w:pPr>
    </w:p>
    <w:p w14:paraId="285FCE41" w14:textId="2FE3ABB0" w:rsidR="003A115D" w:rsidRDefault="001908E7" w:rsidP="00805E69">
      <w:pPr>
        <w:spacing w:after="0"/>
        <w:jc w:val="both"/>
        <w:rPr>
          <w:lang w:val="es-AR"/>
        </w:rPr>
      </w:pPr>
      <w:r>
        <w:rPr>
          <w:lang w:val="es-AR"/>
        </w:rPr>
        <w:t>Otro punto preocupante</w:t>
      </w:r>
      <w:r w:rsidR="003A115D" w:rsidRPr="003A115D">
        <w:rPr>
          <w:lang w:val="es-AR"/>
        </w:rPr>
        <w:t xml:space="preserve"> para los proveedores de contenido es el </w:t>
      </w:r>
      <w:r w:rsidR="003A115D" w:rsidRPr="001908E7">
        <w:rPr>
          <w:b/>
          <w:lang w:val="es-AR"/>
        </w:rPr>
        <w:t>fortalecimiento de</w:t>
      </w:r>
      <w:r w:rsidR="0042227F">
        <w:rPr>
          <w:b/>
          <w:lang w:val="es-AR"/>
        </w:rPr>
        <w:t xml:space="preserve"> las normas de privacidad de </w:t>
      </w:r>
      <w:r w:rsidR="003A115D" w:rsidRPr="001908E7">
        <w:rPr>
          <w:b/>
          <w:lang w:val="es-AR"/>
        </w:rPr>
        <w:t>datos</w:t>
      </w:r>
      <w:r w:rsidR="003A115D" w:rsidRPr="003A115D">
        <w:rPr>
          <w:lang w:val="es-AR"/>
        </w:rPr>
        <w:t xml:space="preserve"> en varios mercados. </w:t>
      </w:r>
      <w:r w:rsidR="003A115D">
        <w:rPr>
          <w:lang w:val="es-AR"/>
        </w:rPr>
        <w:t>La compra programática y el retargeting han permitido que los editores puedan monetizar mejor sus impresiones en los últimos años, pero las nuevas regulaciones c</w:t>
      </w:r>
      <w:r w:rsidR="003C6F3D">
        <w:rPr>
          <w:lang w:val="es-AR"/>
        </w:rPr>
        <w:t>omo la Directiva GDPR de la Unió</w:t>
      </w:r>
      <w:r w:rsidR="003A115D">
        <w:rPr>
          <w:lang w:val="es-AR"/>
        </w:rPr>
        <w:t xml:space="preserve">n Europea, que entrará en vigor en 2018, podría </w:t>
      </w:r>
      <w:r w:rsidR="00B36E34">
        <w:rPr>
          <w:lang w:val="es-AR"/>
        </w:rPr>
        <w:t>facilitar</w:t>
      </w:r>
      <w:r w:rsidR="003A115D">
        <w:rPr>
          <w:lang w:val="es-AR"/>
        </w:rPr>
        <w:t xml:space="preserve"> que los consumidores opten por descartar las cookies </w:t>
      </w:r>
      <w:r>
        <w:rPr>
          <w:lang w:val="es-AR"/>
        </w:rPr>
        <w:t xml:space="preserve">y por lo tanto reducir la cantidad de datos de consumidor a los cuales pueden llegar las campañas programáticas y también el volumen de impresiones programáticas en el mercado. </w:t>
      </w:r>
    </w:p>
    <w:p w14:paraId="73AB30EF" w14:textId="77777777" w:rsidR="001908E7" w:rsidRPr="003A115D" w:rsidRDefault="001908E7" w:rsidP="00805E69">
      <w:pPr>
        <w:spacing w:after="0"/>
        <w:jc w:val="both"/>
        <w:rPr>
          <w:lang w:val="es-AR"/>
        </w:rPr>
      </w:pPr>
    </w:p>
    <w:p w14:paraId="06B17D2F" w14:textId="3B3FB9F6" w:rsidR="00183E19" w:rsidRPr="00183E19" w:rsidRDefault="00183E19" w:rsidP="00805E69">
      <w:pPr>
        <w:spacing w:after="0"/>
        <w:jc w:val="both"/>
        <w:rPr>
          <w:lang w:val="es-AR"/>
        </w:rPr>
      </w:pPr>
      <w:r w:rsidRPr="00183E19">
        <w:rPr>
          <w:lang w:val="es-AR"/>
        </w:rPr>
        <w:t xml:space="preserve">Para finalizar, un punto </w:t>
      </w:r>
      <w:r w:rsidR="0042227F">
        <w:rPr>
          <w:lang w:val="es-AR"/>
        </w:rPr>
        <w:t>a tener en cuenta</w:t>
      </w:r>
      <w:r w:rsidR="00F2056B">
        <w:rPr>
          <w:lang w:val="es-AR"/>
        </w:rPr>
        <w:t xml:space="preserve"> </w:t>
      </w:r>
      <w:r w:rsidRPr="00183E19">
        <w:rPr>
          <w:lang w:val="es-AR"/>
        </w:rPr>
        <w:t xml:space="preserve"> para los proveedores de contenido y la monetizaci</w:t>
      </w:r>
      <w:r>
        <w:rPr>
          <w:lang w:val="es-AR"/>
        </w:rPr>
        <w:t xml:space="preserve">ón digital es el </w:t>
      </w:r>
      <w:r w:rsidRPr="00F2056B">
        <w:rPr>
          <w:b/>
          <w:lang w:val="es-AR"/>
        </w:rPr>
        <w:t>regreso de la “seguridad de marca” y la relevancia de la marca como tema central en 2017</w:t>
      </w:r>
      <w:r>
        <w:rPr>
          <w:lang w:val="es-AR"/>
        </w:rPr>
        <w:t xml:space="preserve">. Algunas marcas han llegado al punto en </w:t>
      </w:r>
      <w:r w:rsidR="0042227F">
        <w:rPr>
          <w:lang w:val="es-AR"/>
        </w:rPr>
        <w:t xml:space="preserve">que se han dado </w:t>
      </w:r>
      <w:r>
        <w:rPr>
          <w:lang w:val="es-AR"/>
        </w:rPr>
        <w:t>cuenta que la escala y eficiencia generada por las grandes propiedades online o las campañas programáticas en cientos de sitios algunas veces tiene</w:t>
      </w:r>
      <w:r w:rsidR="0042227F">
        <w:rPr>
          <w:lang w:val="es-AR"/>
        </w:rPr>
        <w:t>n</w:t>
      </w:r>
      <w:r>
        <w:rPr>
          <w:lang w:val="es-AR"/>
        </w:rPr>
        <w:t xml:space="preserve"> un costo de importancia editorial, lo cual genera asociaciones no deseadas con </w:t>
      </w:r>
      <w:r w:rsidR="00F2056B">
        <w:rPr>
          <w:lang w:val="es-AR"/>
        </w:rPr>
        <w:t xml:space="preserve">entornos editoriales sospechosos. El darse cuenta de esto ofrece la oportunidad a las marcas de medios </w:t>
      </w:r>
      <w:r w:rsidR="0042227F">
        <w:rPr>
          <w:lang w:val="es-AR"/>
        </w:rPr>
        <w:t>p</w:t>
      </w:r>
      <w:r w:rsidR="00F2056B">
        <w:rPr>
          <w:lang w:val="es-AR"/>
        </w:rPr>
        <w:t xml:space="preserve">remium en noticias, vídeo y radio a reforzar el valor de su propio inventario seguro.  </w:t>
      </w:r>
    </w:p>
    <w:p w14:paraId="22E3E9AC" w14:textId="77777777" w:rsidR="008C6E5D" w:rsidRPr="00183E19" w:rsidRDefault="008C6E5D" w:rsidP="00805E69">
      <w:pPr>
        <w:spacing w:after="0"/>
        <w:jc w:val="both"/>
        <w:rPr>
          <w:lang w:val="es-AR"/>
        </w:rPr>
      </w:pPr>
    </w:p>
    <w:p w14:paraId="349C8DFA" w14:textId="1C883F08" w:rsidR="008C6E5D" w:rsidRPr="00291D96" w:rsidRDefault="006A0F72" w:rsidP="00805E69">
      <w:pPr>
        <w:spacing w:after="0" w:line="240" w:lineRule="auto"/>
        <w:jc w:val="both"/>
        <w:rPr>
          <w:lang w:val="es-AR"/>
        </w:rPr>
      </w:pPr>
      <w:r w:rsidRPr="00291D96">
        <w:rPr>
          <w:lang w:val="es-AR"/>
        </w:rPr>
        <w:t>---------------</w:t>
      </w:r>
    </w:p>
    <w:p w14:paraId="31E6DDB0" w14:textId="77777777" w:rsidR="008C6E5D" w:rsidRPr="00291D96" w:rsidRDefault="008C6E5D" w:rsidP="00805E69">
      <w:pPr>
        <w:spacing w:after="0" w:line="240" w:lineRule="auto"/>
        <w:jc w:val="both"/>
        <w:rPr>
          <w:lang w:val="es-AR"/>
        </w:rPr>
      </w:pPr>
    </w:p>
    <w:p w14:paraId="31C1A7FD" w14:textId="72411B66" w:rsidR="00E669AC" w:rsidRPr="00C12B7D" w:rsidRDefault="00C12B7D" w:rsidP="00805E69">
      <w:pPr>
        <w:spacing w:after="0" w:line="240" w:lineRule="auto"/>
        <w:jc w:val="both"/>
        <w:rPr>
          <w:b/>
          <w:lang w:val="es-AR"/>
        </w:rPr>
      </w:pPr>
      <w:r w:rsidRPr="00C12B7D">
        <w:rPr>
          <w:b/>
          <w:lang w:val="es-AR"/>
        </w:rPr>
        <w:t>La próxima Proyección Publicitaria Global de MAG</w:t>
      </w:r>
      <w:r w:rsidR="0042227F">
        <w:rPr>
          <w:b/>
          <w:lang w:val="es-AR"/>
        </w:rPr>
        <w:t>NA</w:t>
      </w:r>
      <w:r w:rsidRPr="00C12B7D">
        <w:rPr>
          <w:b/>
          <w:lang w:val="es-AR"/>
        </w:rPr>
        <w:t xml:space="preserve"> </w:t>
      </w:r>
      <w:r>
        <w:rPr>
          <w:b/>
          <w:lang w:val="es-AR"/>
        </w:rPr>
        <w:t>será</w:t>
      </w:r>
      <w:r w:rsidRPr="00C12B7D">
        <w:rPr>
          <w:b/>
          <w:lang w:val="es-AR"/>
        </w:rPr>
        <w:t xml:space="preserve"> publicada en junio del 2018</w:t>
      </w:r>
      <w:r w:rsidR="00EE6FEF" w:rsidRPr="00C12B7D">
        <w:rPr>
          <w:b/>
          <w:lang w:val="es-AR"/>
        </w:rPr>
        <w:t>.</w:t>
      </w:r>
      <w:r w:rsidR="00E669AC" w:rsidRPr="00C12B7D">
        <w:rPr>
          <w:b/>
          <w:lang w:val="es-AR"/>
        </w:rPr>
        <w:t xml:space="preserve"> </w:t>
      </w:r>
    </w:p>
    <w:p w14:paraId="2E92A177" w14:textId="77777777" w:rsidR="008C6E5D" w:rsidRPr="00C12B7D" w:rsidRDefault="008C6E5D" w:rsidP="00805E69">
      <w:pPr>
        <w:spacing w:after="0" w:line="240" w:lineRule="auto"/>
        <w:jc w:val="both"/>
        <w:rPr>
          <w:b/>
          <w:lang w:val="es-AR"/>
        </w:rPr>
      </w:pPr>
    </w:p>
    <w:p w14:paraId="139C1120" w14:textId="066FF95D" w:rsidR="00382578" w:rsidRPr="00C12B7D" w:rsidRDefault="00C12B7D" w:rsidP="00805E69">
      <w:pPr>
        <w:spacing w:after="0" w:line="240" w:lineRule="auto"/>
        <w:jc w:val="both"/>
        <w:rPr>
          <w:b/>
          <w:lang w:val="es-AR"/>
        </w:rPr>
      </w:pPr>
      <w:r w:rsidRPr="00C12B7D">
        <w:rPr>
          <w:b/>
          <w:lang w:val="es-AR"/>
        </w:rPr>
        <w:t xml:space="preserve">La próxima Proyección Publicitaria para EEUU de MAGNA </w:t>
      </w:r>
      <w:r>
        <w:rPr>
          <w:b/>
          <w:lang w:val="es-AR"/>
        </w:rPr>
        <w:t>será</w:t>
      </w:r>
      <w:r w:rsidRPr="00C12B7D">
        <w:rPr>
          <w:b/>
          <w:lang w:val="es-AR"/>
        </w:rPr>
        <w:t xml:space="preserve"> publicada en marzo de 2018</w:t>
      </w:r>
      <w:r w:rsidR="00E669AC" w:rsidRPr="00C12B7D">
        <w:rPr>
          <w:b/>
          <w:lang w:val="es-AR"/>
        </w:rPr>
        <w:t>.</w:t>
      </w:r>
    </w:p>
    <w:p w14:paraId="48124F7E" w14:textId="3208C12E" w:rsidR="00DC2618" w:rsidRPr="00C45584" w:rsidRDefault="00A57E34" w:rsidP="00805E69">
      <w:pPr>
        <w:jc w:val="both"/>
        <w:rPr>
          <w:lang w:val="es-AR"/>
        </w:rPr>
      </w:pPr>
      <w:r w:rsidRPr="00C45584">
        <w:rPr>
          <w:lang w:val="es-AR"/>
        </w:rPr>
        <w:br w:type="page"/>
      </w:r>
      <w:r>
        <w:rPr>
          <w:noProof/>
        </w:rPr>
        <w:lastRenderedPageBreak/>
        <w:drawing>
          <wp:anchor distT="0" distB="0" distL="114300" distR="114300" simplePos="0" relativeHeight="251658240" behindDoc="0" locked="0" layoutInCell="1" allowOverlap="1" wp14:anchorId="7204504B" wp14:editId="42AED862">
            <wp:simplePos x="0" y="0"/>
            <wp:positionH relativeFrom="column">
              <wp:posOffset>-398390</wp:posOffset>
            </wp:positionH>
            <wp:positionV relativeFrom="paragraph">
              <wp:posOffset>285750</wp:posOffset>
            </wp:positionV>
            <wp:extent cx="7069650" cy="28183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9650" cy="2818336"/>
                    </a:xfrm>
                    <a:prstGeom prst="rect">
                      <a:avLst/>
                    </a:prstGeom>
                    <a:noFill/>
                  </pic:spPr>
                </pic:pic>
              </a:graphicData>
            </a:graphic>
            <wp14:sizeRelH relativeFrom="margin">
              <wp14:pctWidth>0</wp14:pctWidth>
            </wp14:sizeRelH>
            <wp14:sizeRelV relativeFrom="margin">
              <wp14:pctHeight>0</wp14:pctHeight>
            </wp14:sizeRelV>
          </wp:anchor>
        </w:drawing>
      </w:r>
      <w:r w:rsidR="00C45584" w:rsidRPr="00C45584">
        <w:rPr>
          <w:b/>
          <w:sz w:val="24"/>
          <w:lang w:val="es-AR"/>
        </w:rPr>
        <w:t>Ingresos publicitarios netos</w:t>
      </w:r>
      <w:r w:rsidRPr="00C45584">
        <w:rPr>
          <w:b/>
          <w:sz w:val="24"/>
          <w:lang w:val="es-AR"/>
        </w:rPr>
        <w:t xml:space="preserve">: 2016-2018 </w:t>
      </w:r>
      <w:r w:rsidR="00C45584" w:rsidRPr="00C45584">
        <w:rPr>
          <w:b/>
          <w:sz w:val="24"/>
          <w:lang w:val="es-AR"/>
        </w:rPr>
        <w:t>Crecimiento por regi</w:t>
      </w:r>
      <w:r w:rsidR="00C45584">
        <w:rPr>
          <w:b/>
          <w:sz w:val="24"/>
          <w:lang w:val="es-AR"/>
        </w:rPr>
        <w:t>ón</w:t>
      </w:r>
    </w:p>
    <w:p w14:paraId="01807EBA" w14:textId="1E94D03A" w:rsidR="00A57E34" w:rsidRPr="00C45584" w:rsidRDefault="00A57E34" w:rsidP="00805E69">
      <w:pPr>
        <w:jc w:val="both"/>
        <w:rPr>
          <w:lang w:val="es-AR"/>
        </w:rPr>
      </w:pPr>
    </w:p>
    <w:p w14:paraId="48AFF2FB" w14:textId="137EF444" w:rsidR="00A57E34" w:rsidRPr="00C45584" w:rsidRDefault="00C45584" w:rsidP="00805E69">
      <w:pPr>
        <w:jc w:val="both"/>
        <w:rPr>
          <w:lang w:val="es-AR"/>
        </w:rPr>
      </w:pPr>
      <w:r w:rsidRPr="00C45584">
        <w:rPr>
          <w:b/>
          <w:sz w:val="24"/>
          <w:lang w:val="es-AR"/>
        </w:rPr>
        <w:t>Ingresos publicitarios netos</w:t>
      </w:r>
      <w:r w:rsidR="00A57E34" w:rsidRPr="00C45584">
        <w:rPr>
          <w:b/>
          <w:sz w:val="24"/>
          <w:lang w:val="es-AR"/>
        </w:rPr>
        <w:t xml:space="preserve">: </w:t>
      </w:r>
      <w:r w:rsidRPr="00C45584">
        <w:rPr>
          <w:b/>
          <w:sz w:val="24"/>
          <w:lang w:val="es-AR"/>
        </w:rPr>
        <w:t xml:space="preserve">Proyección de crecimiento </w:t>
      </w:r>
      <w:r w:rsidR="00A57E34" w:rsidRPr="00C45584">
        <w:rPr>
          <w:b/>
          <w:sz w:val="24"/>
          <w:lang w:val="es-AR"/>
        </w:rPr>
        <w:t xml:space="preserve">2018 </w:t>
      </w:r>
      <w:r>
        <w:rPr>
          <w:b/>
          <w:sz w:val="24"/>
          <w:lang w:val="es-AR"/>
        </w:rPr>
        <w:t>en principales mercados</w:t>
      </w:r>
    </w:p>
    <w:p w14:paraId="47F794CF" w14:textId="4A93177B" w:rsidR="00A57E34" w:rsidRDefault="00A57E34" w:rsidP="00805E69">
      <w:pPr>
        <w:jc w:val="both"/>
      </w:pPr>
      <w:r>
        <w:rPr>
          <w:noProof/>
        </w:rPr>
        <w:drawing>
          <wp:inline distT="0" distB="0" distL="0" distR="0" wp14:anchorId="07F8B49D" wp14:editId="4BA0B77B">
            <wp:extent cx="5943600" cy="308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88640"/>
                    </a:xfrm>
                    <a:prstGeom prst="rect">
                      <a:avLst/>
                    </a:prstGeom>
                  </pic:spPr>
                </pic:pic>
              </a:graphicData>
            </a:graphic>
          </wp:inline>
        </w:drawing>
      </w:r>
    </w:p>
    <w:p w14:paraId="4199BC54" w14:textId="25CAB2D6" w:rsidR="00A57E34" w:rsidRDefault="00A57E34" w:rsidP="00805E69">
      <w:pPr>
        <w:jc w:val="both"/>
      </w:pPr>
      <w:r>
        <w:br w:type="page"/>
      </w:r>
    </w:p>
    <w:p w14:paraId="03D5DA5E" w14:textId="727B2149" w:rsidR="00D93887" w:rsidRPr="00C45584" w:rsidRDefault="00C45584" w:rsidP="00805E69">
      <w:pPr>
        <w:jc w:val="both"/>
        <w:rPr>
          <w:lang w:val="es-AR"/>
        </w:rPr>
      </w:pPr>
      <w:r w:rsidRPr="00C45584">
        <w:rPr>
          <w:b/>
          <w:sz w:val="24"/>
          <w:lang w:val="es-AR"/>
        </w:rPr>
        <w:lastRenderedPageBreak/>
        <w:t>Ingresos publicitarios netos</w:t>
      </w:r>
      <w:r w:rsidR="00D93887" w:rsidRPr="00C45584">
        <w:rPr>
          <w:b/>
          <w:sz w:val="24"/>
          <w:lang w:val="es-AR"/>
        </w:rPr>
        <w:t xml:space="preserve">: </w:t>
      </w:r>
      <w:r w:rsidRPr="00C45584">
        <w:rPr>
          <w:b/>
          <w:sz w:val="24"/>
          <w:lang w:val="es-AR"/>
        </w:rPr>
        <w:t xml:space="preserve">Proyección de crecimiento </w:t>
      </w:r>
      <w:r w:rsidR="00D93887" w:rsidRPr="00C45584">
        <w:rPr>
          <w:b/>
          <w:sz w:val="24"/>
          <w:lang w:val="es-AR"/>
        </w:rPr>
        <w:t xml:space="preserve">2018 </w:t>
      </w:r>
      <w:r>
        <w:rPr>
          <w:b/>
          <w:sz w:val="24"/>
          <w:lang w:val="es-AR"/>
        </w:rPr>
        <w:t>en los EEUU</w:t>
      </w:r>
    </w:p>
    <w:p w14:paraId="2AC10A13" w14:textId="077F6037" w:rsidR="00055B62" w:rsidRDefault="00D93887" w:rsidP="00805E69">
      <w:pPr>
        <w:jc w:val="both"/>
      </w:pPr>
      <w:r>
        <w:rPr>
          <w:noProof/>
        </w:rPr>
        <w:drawing>
          <wp:inline distT="0" distB="0" distL="0" distR="0" wp14:anchorId="6CC78B02" wp14:editId="7B8C59B8">
            <wp:extent cx="5943600" cy="27806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80665"/>
                    </a:xfrm>
                    <a:prstGeom prst="rect">
                      <a:avLst/>
                    </a:prstGeom>
                  </pic:spPr>
                </pic:pic>
              </a:graphicData>
            </a:graphic>
          </wp:inline>
        </w:drawing>
      </w:r>
    </w:p>
    <w:p w14:paraId="3C9ACD7C" w14:textId="77777777" w:rsidR="00F00994" w:rsidRPr="00055B62" w:rsidRDefault="00F00994" w:rsidP="00805E69">
      <w:pPr>
        <w:jc w:val="both"/>
      </w:pPr>
    </w:p>
    <w:p w14:paraId="37EE0489" w14:textId="77777777" w:rsidR="00CA67F6" w:rsidRDefault="00CA67F6" w:rsidP="00805E69">
      <w:pPr>
        <w:autoSpaceDE w:val="0"/>
        <w:autoSpaceDN w:val="0"/>
        <w:adjustRightInd w:val="0"/>
        <w:spacing w:after="0" w:line="240" w:lineRule="auto"/>
        <w:jc w:val="both"/>
        <w:rPr>
          <w:sz w:val="20"/>
          <w:szCs w:val="20"/>
          <w:lang w:val="es-AR"/>
        </w:rPr>
      </w:pPr>
    </w:p>
    <w:p w14:paraId="4130D456" w14:textId="77777777" w:rsidR="00CA67F6" w:rsidRDefault="00CA67F6" w:rsidP="00805E69">
      <w:pPr>
        <w:autoSpaceDE w:val="0"/>
        <w:autoSpaceDN w:val="0"/>
        <w:adjustRightInd w:val="0"/>
        <w:spacing w:after="0" w:line="240" w:lineRule="auto"/>
        <w:jc w:val="both"/>
        <w:rPr>
          <w:sz w:val="20"/>
          <w:szCs w:val="20"/>
          <w:lang w:val="es-AR"/>
        </w:rPr>
      </w:pPr>
    </w:p>
    <w:p w14:paraId="2B976838" w14:textId="77777777" w:rsidR="00CA67F6" w:rsidRPr="00CA67F6" w:rsidRDefault="00CA67F6" w:rsidP="00CA67F6">
      <w:pPr>
        <w:autoSpaceDE w:val="0"/>
        <w:autoSpaceDN w:val="0"/>
        <w:adjustRightInd w:val="0"/>
        <w:spacing w:after="0" w:line="240" w:lineRule="auto"/>
        <w:jc w:val="both"/>
        <w:rPr>
          <w:b/>
          <w:sz w:val="32"/>
          <w:szCs w:val="32"/>
          <w:lang w:val="es-AR"/>
        </w:rPr>
      </w:pPr>
      <w:r w:rsidRPr="00CA67F6">
        <w:rPr>
          <w:b/>
          <w:sz w:val="32"/>
          <w:szCs w:val="32"/>
          <w:lang w:val="es-AR"/>
        </w:rPr>
        <w:t xml:space="preserve">América Latina: </w:t>
      </w:r>
      <w:r w:rsidRPr="00CA67F6">
        <w:rPr>
          <w:b/>
          <w:bCs/>
          <w:sz w:val="32"/>
          <w:szCs w:val="32"/>
          <w:lang w:val="es-AR"/>
        </w:rPr>
        <w:t>Finalmente con signos de recuperación</w:t>
      </w:r>
    </w:p>
    <w:p w14:paraId="0FCDFB3D" w14:textId="77777777" w:rsidR="00CA67F6" w:rsidRPr="003C6EBE" w:rsidRDefault="00CA67F6" w:rsidP="00CA67F6">
      <w:pPr>
        <w:pStyle w:val="ListParagraph"/>
        <w:spacing w:line="240" w:lineRule="auto"/>
        <w:ind w:left="0"/>
        <w:contextualSpacing w:val="0"/>
        <w:jc w:val="both"/>
        <w:rPr>
          <w:lang w:val="es-AR"/>
        </w:rPr>
      </w:pPr>
    </w:p>
    <w:p w14:paraId="6C2C0DC0" w14:textId="65DD8BDD" w:rsidR="00CA67F6" w:rsidRPr="003C6EBE" w:rsidRDefault="00CA67F6" w:rsidP="00CA67F6">
      <w:pPr>
        <w:pBdr>
          <w:top w:val="single" w:sz="4" w:space="1" w:color="auto"/>
          <w:left w:val="single" w:sz="4" w:space="4" w:color="auto"/>
          <w:bottom w:val="single" w:sz="4" w:space="1" w:color="auto"/>
          <w:right w:val="single" w:sz="4" w:space="4" w:color="auto"/>
        </w:pBdr>
        <w:jc w:val="both"/>
        <w:rPr>
          <w:lang w:val="es-AR"/>
        </w:rPr>
      </w:pPr>
      <w:r>
        <w:rPr>
          <w:b/>
          <w:lang w:val="es-AR"/>
        </w:rPr>
        <w:t>Karla Natareno</w:t>
      </w:r>
      <w:r w:rsidRPr="003C6EBE">
        <w:rPr>
          <w:lang w:val="es-AR"/>
        </w:rPr>
        <w:t xml:space="preserve">, </w:t>
      </w:r>
      <w:r>
        <w:rPr>
          <w:lang w:val="es-AR"/>
        </w:rPr>
        <w:t xml:space="preserve">Regional Head Latin America, </w:t>
      </w:r>
      <w:r w:rsidRPr="003C6EBE">
        <w:rPr>
          <w:lang w:val="es-AR"/>
        </w:rPr>
        <w:t xml:space="preserve">MAGNA, </w:t>
      </w:r>
      <w:r>
        <w:rPr>
          <w:lang w:val="es-AR"/>
        </w:rPr>
        <w:t>sostiene</w:t>
      </w:r>
      <w:r w:rsidRPr="003C6EBE">
        <w:rPr>
          <w:lang w:val="es-AR"/>
        </w:rPr>
        <w:t xml:space="preserve">: </w:t>
      </w:r>
    </w:p>
    <w:p w14:paraId="71188099" w14:textId="326A47B2" w:rsidR="00CA67F6" w:rsidRPr="00CA67F6" w:rsidRDefault="00CA67F6" w:rsidP="00CA67F6">
      <w:pPr>
        <w:pBdr>
          <w:top w:val="single" w:sz="4" w:space="1" w:color="auto"/>
          <w:left w:val="single" w:sz="4" w:space="4" w:color="auto"/>
          <w:bottom w:val="single" w:sz="4" w:space="1" w:color="auto"/>
          <w:right w:val="single" w:sz="4" w:space="4" w:color="auto"/>
        </w:pBdr>
        <w:jc w:val="both"/>
        <w:rPr>
          <w:i/>
        </w:rPr>
      </w:pPr>
      <w:r w:rsidRPr="00117D22">
        <w:rPr>
          <w:i/>
          <w:lang w:val="es-AR"/>
        </w:rPr>
        <w:t>”</w:t>
      </w:r>
      <w:r w:rsidRPr="00CA67F6">
        <w:rPr>
          <w:rFonts w:ascii="Calibri" w:hAnsi="Calibri" w:cs="Calibri"/>
          <w:color w:val="18376A"/>
          <w:sz w:val="30"/>
          <w:szCs w:val="30"/>
        </w:rPr>
        <w:t xml:space="preserve"> </w:t>
      </w:r>
      <w:r w:rsidRPr="00CA67F6">
        <w:rPr>
          <w:i/>
        </w:rPr>
        <w:t xml:space="preserve">El </w:t>
      </w:r>
      <w:proofErr w:type="spellStart"/>
      <w:r w:rsidRPr="00CA67F6">
        <w:rPr>
          <w:i/>
        </w:rPr>
        <w:t>crecimiento</w:t>
      </w:r>
      <w:proofErr w:type="spellEnd"/>
      <w:r w:rsidRPr="00CA67F6">
        <w:rPr>
          <w:i/>
        </w:rPr>
        <w:t xml:space="preserve"> </w:t>
      </w:r>
      <w:proofErr w:type="spellStart"/>
      <w:r w:rsidRPr="00CA67F6">
        <w:rPr>
          <w:i/>
        </w:rPr>
        <w:t>que</w:t>
      </w:r>
      <w:proofErr w:type="spellEnd"/>
      <w:r w:rsidRPr="00CA67F6">
        <w:rPr>
          <w:i/>
        </w:rPr>
        <w:t xml:space="preserve"> </w:t>
      </w:r>
      <w:proofErr w:type="spellStart"/>
      <w:r w:rsidRPr="00CA67F6">
        <w:rPr>
          <w:i/>
        </w:rPr>
        <w:t>hemos</w:t>
      </w:r>
      <w:proofErr w:type="spellEnd"/>
      <w:r w:rsidRPr="00CA67F6">
        <w:rPr>
          <w:i/>
        </w:rPr>
        <w:t xml:space="preserve"> </w:t>
      </w:r>
      <w:proofErr w:type="spellStart"/>
      <w:r w:rsidRPr="00CA67F6">
        <w:rPr>
          <w:i/>
        </w:rPr>
        <w:t>visto</w:t>
      </w:r>
      <w:proofErr w:type="spellEnd"/>
      <w:r w:rsidRPr="00CA67F6">
        <w:rPr>
          <w:i/>
        </w:rPr>
        <w:t xml:space="preserve"> en la </w:t>
      </w:r>
      <w:proofErr w:type="spellStart"/>
      <w:r w:rsidRPr="00CA67F6">
        <w:rPr>
          <w:i/>
        </w:rPr>
        <w:t>región</w:t>
      </w:r>
      <w:proofErr w:type="spellEnd"/>
      <w:r w:rsidRPr="00CA67F6">
        <w:rPr>
          <w:i/>
        </w:rPr>
        <w:t xml:space="preserve"> </w:t>
      </w:r>
      <w:proofErr w:type="spellStart"/>
      <w:r w:rsidRPr="00CA67F6">
        <w:rPr>
          <w:i/>
        </w:rPr>
        <w:t>durante</w:t>
      </w:r>
      <w:proofErr w:type="spellEnd"/>
      <w:r w:rsidRPr="00CA67F6">
        <w:rPr>
          <w:i/>
        </w:rPr>
        <w:t xml:space="preserve"> 2017 ha </w:t>
      </w:r>
      <w:proofErr w:type="spellStart"/>
      <w:r w:rsidRPr="00CA67F6">
        <w:rPr>
          <w:i/>
        </w:rPr>
        <w:t>superado</w:t>
      </w:r>
      <w:proofErr w:type="spellEnd"/>
      <w:r w:rsidRPr="00CA67F6">
        <w:rPr>
          <w:i/>
        </w:rPr>
        <w:t xml:space="preserve"> </w:t>
      </w:r>
      <w:proofErr w:type="spellStart"/>
      <w:r w:rsidRPr="00CA67F6">
        <w:rPr>
          <w:i/>
        </w:rPr>
        <w:t>proyecciones</w:t>
      </w:r>
      <w:proofErr w:type="spellEnd"/>
      <w:r w:rsidRPr="00CA67F6">
        <w:rPr>
          <w:i/>
        </w:rPr>
        <w:t xml:space="preserve"> </w:t>
      </w:r>
      <w:proofErr w:type="spellStart"/>
      <w:r w:rsidRPr="00CA67F6">
        <w:rPr>
          <w:i/>
        </w:rPr>
        <w:t>anteriores</w:t>
      </w:r>
      <w:proofErr w:type="spellEnd"/>
      <w:r w:rsidRPr="00CA67F6">
        <w:rPr>
          <w:i/>
        </w:rPr>
        <w:t xml:space="preserve">, un </w:t>
      </w:r>
      <w:proofErr w:type="spellStart"/>
      <w:r w:rsidRPr="00CA67F6">
        <w:rPr>
          <w:i/>
        </w:rPr>
        <w:t>reflejo</w:t>
      </w:r>
      <w:proofErr w:type="spellEnd"/>
      <w:r w:rsidRPr="00CA67F6">
        <w:rPr>
          <w:i/>
        </w:rPr>
        <w:t xml:space="preserve"> de la </w:t>
      </w:r>
      <w:proofErr w:type="spellStart"/>
      <w:r w:rsidRPr="00CA67F6">
        <w:rPr>
          <w:i/>
        </w:rPr>
        <w:t>estabilidad</w:t>
      </w:r>
      <w:proofErr w:type="spellEnd"/>
      <w:r w:rsidRPr="00CA67F6">
        <w:rPr>
          <w:i/>
        </w:rPr>
        <w:t xml:space="preserve"> </w:t>
      </w:r>
      <w:proofErr w:type="spellStart"/>
      <w:r w:rsidRPr="00CA67F6">
        <w:rPr>
          <w:i/>
        </w:rPr>
        <w:t>económica</w:t>
      </w:r>
      <w:proofErr w:type="spellEnd"/>
      <w:r w:rsidRPr="00CA67F6">
        <w:rPr>
          <w:i/>
        </w:rPr>
        <w:t xml:space="preserve"> de </w:t>
      </w:r>
      <w:proofErr w:type="spellStart"/>
      <w:r w:rsidRPr="00CA67F6">
        <w:rPr>
          <w:i/>
        </w:rPr>
        <w:t>varios</w:t>
      </w:r>
      <w:proofErr w:type="spellEnd"/>
      <w:r w:rsidRPr="00CA67F6">
        <w:rPr>
          <w:i/>
        </w:rPr>
        <w:t xml:space="preserve"> </w:t>
      </w:r>
      <w:proofErr w:type="spellStart"/>
      <w:r w:rsidRPr="00CA67F6">
        <w:rPr>
          <w:i/>
        </w:rPr>
        <w:t>países</w:t>
      </w:r>
      <w:proofErr w:type="spellEnd"/>
      <w:r w:rsidRPr="00CA67F6">
        <w:rPr>
          <w:i/>
        </w:rPr>
        <w:t xml:space="preserve"> </w:t>
      </w:r>
      <w:proofErr w:type="spellStart"/>
      <w:r w:rsidRPr="00CA67F6">
        <w:rPr>
          <w:i/>
        </w:rPr>
        <w:t>incluyendo</w:t>
      </w:r>
      <w:proofErr w:type="spellEnd"/>
      <w:r w:rsidRPr="00CA67F6">
        <w:rPr>
          <w:i/>
        </w:rPr>
        <w:t xml:space="preserve"> </w:t>
      </w:r>
      <w:proofErr w:type="spellStart"/>
      <w:r w:rsidRPr="00CA67F6">
        <w:rPr>
          <w:i/>
        </w:rPr>
        <w:t>Brasil</w:t>
      </w:r>
      <w:proofErr w:type="spellEnd"/>
      <w:r w:rsidRPr="00CA67F6">
        <w:rPr>
          <w:i/>
        </w:rPr>
        <w:t xml:space="preserve">. 2018, </w:t>
      </w:r>
      <w:proofErr w:type="spellStart"/>
      <w:r w:rsidRPr="00CA67F6">
        <w:rPr>
          <w:i/>
        </w:rPr>
        <w:t>anio</w:t>
      </w:r>
      <w:proofErr w:type="spellEnd"/>
      <w:r w:rsidRPr="00CA67F6">
        <w:rPr>
          <w:i/>
        </w:rPr>
        <w:t xml:space="preserve"> de Mundial y de </w:t>
      </w:r>
      <w:proofErr w:type="spellStart"/>
      <w:r w:rsidRPr="00CA67F6">
        <w:rPr>
          <w:i/>
        </w:rPr>
        <w:t>Olimpiadas</w:t>
      </w:r>
      <w:proofErr w:type="spellEnd"/>
      <w:r w:rsidRPr="00CA67F6">
        <w:rPr>
          <w:i/>
        </w:rPr>
        <w:t xml:space="preserve"> de </w:t>
      </w:r>
      <w:proofErr w:type="spellStart"/>
      <w:r w:rsidRPr="00CA67F6">
        <w:rPr>
          <w:i/>
        </w:rPr>
        <w:t>Invierno</w:t>
      </w:r>
      <w:proofErr w:type="spellEnd"/>
      <w:r w:rsidRPr="00CA67F6">
        <w:rPr>
          <w:i/>
        </w:rPr>
        <w:t xml:space="preserve">, </w:t>
      </w:r>
      <w:proofErr w:type="spellStart"/>
      <w:r w:rsidRPr="00CA67F6">
        <w:rPr>
          <w:i/>
        </w:rPr>
        <w:t>Latinoamérica</w:t>
      </w:r>
      <w:proofErr w:type="spellEnd"/>
      <w:r w:rsidRPr="00CA67F6">
        <w:rPr>
          <w:i/>
        </w:rPr>
        <w:t xml:space="preserve"> </w:t>
      </w:r>
      <w:proofErr w:type="spellStart"/>
      <w:r w:rsidRPr="00CA67F6">
        <w:rPr>
          <w:i/>
        </w:rPr>
        <w:t>será</w:t>
      </w:r>
      <w:proofErr w:type="spellEnd"/>
      <w:r w:rsidRPr="00CA67F6">
        <w:rPr>
          <w:i/>
        </w:rPr>
        <w:t xml:space="preserve"> </w:t>
      </w:r>
      <w:proofErr w:type="spellStart"/>
      <w:r w:rsidRPr="00CA67F6">
        <w:rPr>
          <w:i/>
        </w:rPr>
        <w:t>indudablemente</w:t>
      </w:r>
      <w:proofErr w:type="spellEnd"/>
      <w:r w:rsidRPr="00CA67F6">
        <w:rPr>
          <w:i/>
        </w:rPr>
        <w:t xml:space="preserve"> la </w:t>
      </w:r>
      <w:proofErr w:type="spellStart"/>
      <w:r w:rsidRPr="00CA67F6">
        <w:rPr>
          <w:i/>
        </w:rPr>
        <w:t>región</w:t>
      </w:r>
      <w:proofErr w:type="spellEnd"/>
      <w:r w:rsidRPr="00CA67F6">
        <w:rPr>
          <w:i/>
        </w:rPr>
        <w:t xml:space="preserve"> con el </w:t>
      </w:r>
      <w:proofErr w:type="spellStart"/>
      <w:r w:rsidRPr="00CA67F6">
        <w:rPr>
          <w:i/>
        </w:rPr>
        <w:t>crecimiento</w:t>
      </w:r>
      <w:proofErr w:type="spellEnd"/>
      <w:r w:rsidRPr="00CA67F6">
        <w:rPr>
          <w:i/>
        </w:rPr>
        <w:t xml:space="preserve"> </w:t>
      </w:r>
      <w:proofErr w:type="spellStart"/>
      <w:r w:rsidRPr="00CA67F6">
        <w:rPr>
          <w:i/>
        </w:rPr>
        <w:t>más</w:t>
      </w:r>
      <w:proofErr w:type="spellEnd"/>
      <w:r w:rsidRPr="00CA67F6">
        <w:rPr>
          <w:i/>
        </w:rPr>
        <w:t xml:space="preserve"> </w:t>
      </w:r>
      <w:proofErr w:type="spellStart"/>
      <w:r w:rsidRPr="00CA67F6">
        <w:rPr>
          <w:i/>
        </w:rPr>
        <w:t>acelerado</w:t>
      </w:r>
      <w:proofErr w:type="spellEnd"/>
      <w:r w:rsidRPr="00CA67F6">
        <w:rPr>
          <w:i/>
        </w:rPr>
        <w:t xml:space="preserve"> a </w:t>
      </w:r>
      <w:proofErr w:type="spellStart"/>
      <w:r w:rsidRPr="00CA67F6">
        <w:rPr>
          <w:i/>
        </w:rPr>
        <w:t>nivel</w:t>
      </w:r>
      <w:proofErr w:type="spellEnd"/>
      <w:r w:rsidRPr="00CA67F6">
        <w:rPr>
          <w:i/>
        </w:rPr>
        <w:t xml:space="preserve"> global, la </w:t>
      </w:r>
      <w:proofErr w:type="spellStart"/>
      <w:r w:rsidRPr="00CA67F6">
        <w:rPr>
          <w:i/>
        </w:rPr>
        <w:t>cual</w:t>
      </w:r>
      <w:proofErr w:type="spellEnd"/>
      <w:r w:rsidRPr="00CA67F6">
        <w:rPr>
          <w:i/>
        </w:rPr>
        <w:t xml:space="preserve"> </w:t>
      </w:r>
      <w:proofErr w:type="spellStart"/>
      <w:r w:rsidRPr="00CA67F6">
        <w:rPr>
          <w:i/>
        </w:rPr>
        <w:t>estimamos</w:t>
      </w:r>
      <w:proofErr w:type="spellEnd"/>
      <w:r w:rsidRPr="00CA67F6">
        <w:rPr>
          <w:i/>
        </w:rPr>
        <w:t xml:space="preserve"> en </w:t>
      </w:r>
      <w:proofErr w:type="gramStart"/>
      <w:r w:rsidRPr="00CA67F6">
        <w:rPr>
          <w:i/>
        </w:rPr>
        <w:t>un</w:t>
      </w:r>
      <w:proofErr w:type="gramEnd"/>
      <w:r w:rsidRPr="00CA67F6">
        <w:rPr>
          <w:i/>
        </w:rPr>
        <w:t xml:space="preserve"> +9.3%.  Digital continua </w:t>
      </w:r>
      <w:proofErr w:type="spellStart"/>
      <w:r w:rsidRPr="00CA67F6">
        <w:rPr>
          <w:i/>
        </w:rPr>
        <w:t>siendo</w:t>
      </w:r>
      <w:proofErr w:type="spellEnd"/>
      <w:r w:rsidRPr="00CA67F6">
        <w:rPr>
          <w:i/>
        </w:rPr>
        <w:t xml:space="preserve"> el </w:t>
      </w:r>
      <w:proofErr w:type="spellStart"/>
      <w:r w:rsidRPr="00CA67F6">
        <w:rPr>
          <w:i/>
        </w:rPr>
        <w:t>medio</w:t>
      </w:r>
      <w:proofErr w:type="spellEnd"/>
      <w:r w:rsidRPr="00CA67F6">
        <w:rPr>
          <w:i/>
        </w:rPr>
        <w:t xml:space="preserve"> con mayor </w:t>
      </w:r>
      <w:proofErr w:type="spellStart"/>
      <w:r w:rsidRPr="00CA67F6">
        <w:rPr>
          <w:i/>
        </w:rPr>
        <w:t>auge</w:t>
      </w:r>
      <w:proofErr w:type="spellEnd"/>
      <w:r w:rsidRPr="00CA67F6">
        <w:rPr>
          <w:i/>
        </w:rPr>
        <w:t xml:space="preserve">, </w:t>
      </w:r>
      <w:proofErr w:type="spellStart"/>
      <w:r w:rsidRPr="00CA67F6">
        <w:rPr>
          <w:i/>
        </w:rPr>
        <w:t>impulsado</w:t>
      </w:r>
      <w:proofErr w:type="spellEnd"/>
      <w:r w:rsidRPr="00CA67F6">
        <w:rPr>
          <w:i/>
        </w:rPr>
        <w:t xml:space="preserve"> </w:t>
      </w:r>
      <w:proofErr w:type="spellStart"/>
      <w:r w:rsidRPr="00CA67F6">
        <w:rPr>
          <w:i/>
        </w:rPr>
        <w:t>principalmente</w:t>
      </w:r>
      <w:proofErr w:type="spellEnd"/>
      <w:r w:rsidRPr="00CA67F6">
        <w:rPr>
          <w:i/>
        </w:rPr>
        <w:t xml:space="preserve"> </w:t>
      </w:r>
      <w:proofErr w:type="spellStart"/>
      <w:r w:rsidRPr="00CA67F6">
        <w:rPr>
          <w:i/>
        </w:rPr>
        <w:t>por</w:t>
      </w:r>
      <w:proofErr w:type="spellEnd"/>
      <w:r w:rsidRPr="00CA67F6">
        <w:rPr>
          <w:i/>
        </w:rPr>
        <w:t xml:space="preserve"> Mobile; con </w:t>
      </w:r>
      <w:proofErr w:type="spellStart"/>
      <w:r w:rsidRPr="00CA67F6">
        <w:rPr>
          <w:i/>
        </w:rPr>
        <w:t>grandes</w:t>
      </w:r>
      <w:proofErr w:type="spellEnd"/>
      <w:r w:rsidRPr="00CA67F6">
        <w:rPr>
          <w:i/>
        </w:rPr>
        <w:t xml:space="preserve"> </w:t>
      </w:r>
      <w:proofErr w:type="spellStart"/>
      <w:r w:rsidRPr="00CA67F6">
        <w:rPr>
          <w:i/>
        </w:rPr>
        <w:t>oportunidades</w:t>
      </w:r>
      <w:proofErr w:type="spellEnd"/>
      <w:r w:rsidRPr="00CA67F6">
        <w:rPr>
          <w:i/>
        </w:rPr>
        <w:t xml:space="preserve"> </w:t>
      </w:r>
      <w:proofErr w:type="spellStart"/>
      <w:r w:rsidRPr="00CA67F6">
        <w:rPr>
          <w:i/>
        </w:rPr>
        <w:t>aun</w:t>
      </w:r>
      <w:proofErr w:type="spellEnd"/>
      <w:r w:rsidRPr="00CA67F6">
        <w:rPr>
          <w:i/>
        </w:rPr>
        <w:t xml:space="preserve"> </w:t>
      </w:r>
      <w:proofErr w:type="spellStart"/>
      <w:r w:rsidRPr="00CA67F6">
        <w:rPr>
          <w:i/>
        </w:rPr>
        <w:t>ya</w:t>
      </w:r>
      <w:proofErr w:type="spellEnd"/>
      <w:r w:rsidRPr="00CA67F6">
        <w:rPr>
          <w:i/>
        </w:rPr>
        <w:t xml:space="preserve"> </w:t>
      </w:r>
      <w:proofErr w:type="spellStart"/>
      <w:r w:rsidRPr="00CA67F6">
        <w:rPr>
          <w:i/>
        </w:rPr>
        <w:t>que</w:t>
      </w:r>
      <w:proofErr w:type="spellEnd"/>
      <w:r w:rsidRPr="00CA67F6">
        <w:rPr>
          <w:i/>
        </w:rPr>
        <w:t xml:space="preserve"> </w:t>
      </w:r>
      <w:proofErr w:type="spellStart"/>
      <w:r w:rsidRPr="00CA67F6">
        <w:rPr>
          <w:i/>
        </w:rPr>
        <w:t>continuamos</w:t>
      </w:r>
      <w:proofErr w:type="spellEnd"/>
      <w:r w:rsidRPr="00CA67F6">
        <w:rPr>
          <w:i/>
        </w:rPr>
        <w:t xml:space="preserve"> </w:t>
      </w:r>
      <w:proofErr w:type="spellStart"/>
      <w:r w:rsidRPr="00CA67F6">
        <w:rPr>
          <w:i/>
        </w:rPr>
        <w:t>por</w:t>
      </w:r>
      <w:proofErr w:type="spellEnd"/>
      <w:r w:rsidRPr="00CA67F6">
        <w:rPr>
          <w:i/>
        </w:rPr>
        <w:t xml:space="preserve"> </w:t>
      </w:r>
      <w:proofErr w:type="spellStart"/>
      <w:r w:rsidRPr="00CA67F6">
        <w:rPr>
          <w:i/>
        </w:rPr>
        <w:t>debajo</w:t>
      </w:r>
      <w:proofErr w:type="spellEnd"/>
      <w:r w:rsidRPr="00CA67F6">
        <w:rPr>
          <w:i/>
        </w:rPr>
        <w:t xml:space="preserve"> del </w:t>
      </w:r>
      <w:proofErr w:type="spellStart"/>
      <w:r w:rsidRPr="00CA67F6">
        <w:rPr>
          <w:i/>
        </w:rPr>
        <w:t>promedio</w:t>
      </w:r>
      <w:proofErr w:type="spellEnd"/>
      <w:r w:rsidRPr="00CA67F6">
        <w:rPr>
          <w:i/>
        </w:rPr>
        <w:t xml:space="preserve"> global.</w:t>
      </w:r>
      <w:r>
        <w:rPr>
          <w:i/>
        </w:rPr>
        <w:t>”</w:t>
      </w:r>
    </w:p>
    <w:p w14:paraId="14DA2519" w14:textId="77777777" w:rsidR="00CA67F6" w:rsidRPr="00CA67F6" w:rsidRDefault="00CA67F6" w:rsidP="00CA67F6">
      <w:pPr>
        <w:autoSpaceDE w:val="0"/>
        <w:autoSpaceDN w:val="0"/>
        <w:adjustRightInd w:val="0"/>
        <w:spacing w:after="0" w:line="240" w:lineRule="auto"/>
        <w:jc w:val="both"/>
        <w:rPr>
          <w:sz w:val="32"/>
          <w:szCs w:val="32"/>
          <w:lang w:val="es-AR"/>
        </w:rPr>
      </w:pPr>
    </w:p>
    <w:p w14:paraId="2FF629C9"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 xml:space="preserve">MAGNA prevé que los ingresos publicitarios netos de los dueños de medios de América Latina (NAR) crecerán un +9,3% en 2018, alcanzando los </w:t>
      </w:r>
      <w:r w:rsidRPr="00CA67F6">
        <w:rPr>
          <w:b/>
          <w:sz w:val="20"/>
          <w:szCs w:val="20"/>
          <w:lang w:val="es-AR"/>
        </w:rPr>
        <w:t>26.3 mil millones de dólares</w:t>
      </w:r>
      <w:r w:rsidRPr="00CA67F6">
        <w:rPr>
          <w:sz w:val="20"/>
          <w:szCs w:val="20"/>
          <w:lang w:val="es-AR"/>
        </w:rPr>
        <w:t>, tras un +7,3% de crecimiento en 2017 gracias a que la recuperación económica logra consolidarse en la región. La última edición del FMI prevé un crecimiento real del PBI del +1,9% para el año que viene en la región, comparado con el +1,7% en 2017 y -0,9% en 2016. Sin embargo, la recuperación económica se mantiene extremadamente frágil y la inestabilidad económica continúa siendo una amenaza para varios países, incluyendo a Brasil.</w:t>
      </w:r>
    </w:p>
    <w:p w14:paraId="27E4333E" w14:textId="77777777" w:rsidR="00CA67F6" w:rsidRPr="00CA67F6" w:rsidRDefault="00CA67F6" w:rsidP="00CA67F6">
      <w:pPr>
        <w:autoSpaceDE w:val="0"/>
        <w:autoSpaceDN w:val="0"/>
        <w:adjustRightInd w:val="0"/>
        <w:spacing w:after="0" w:line="240" w:lineRule="auto"/>
        <w:jc w:val="both"/>
        <w:rPr>
          <w:sz w:val="20"/>
          <w:szCs w:val="20"/>
          <w:lang w:val="es-AR"/>
        </w:rPr>
      </w:pPr>
    </w:p>
    <w:p w14:paraId="11ADD505"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Un crecimiento del +9% no sería tan impactante si se toman en cuenta los elevados niveles de inflación económica sufridos por la región y las tasas de crecimiento observadas con anterioridad al 2014 que por lo general oscilan entre el 10% y el 15%. No obstante, esta sería la mayor tasa de crecimiento desde el 2013.</w:t>
      </w:r>
    </w:p>
    <w:p w14:paraId="788EABE2" w14:textId="77777777" w:rsidR="00CA67F6" w:rsidRPr="00CA67F6" w:rsidRDefault="00CA67F6" w:rsidP="00CA67F6">
      <w:pPr>
        <w:autoSpaceDE w:val="0"/>
        <w:autoSpaceDN w:val="0"/>
        <w:adjustRightInd w:val="0"/>
        <w:spacing w:after="0" w:line="240" w:lineRule="auto"/>
        <w:jc w:val="both"/>
        <w:rPr>
          <w:sz w:val="20"/>
          <w:szCs w:val="20"/>
          <w:lang w:val="es-AR"/>
        </w:rPr>
      </w:pPr>
    </w:p>
    <w:p w14:paraId="54D1E1DA"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lastRenderedPageBreak/>
        <w:t xml:space="preserve">Las tendencias para la inversión publicitaria continúan experimentando una variación a nivel país. Se prevé que los cambios hacia digital, el lanzamiento de nuevos canales de TV, los programas  gubernamentales de reconstrucción en áreas de desastres naturales y las elecciones tengan un cierto impacto en la actividad de marketing y la inversión publicitaria. No obstante, se prevé que la mayoría de los mercados en América Latina tengan un crecimiento un poco más alto en la inversión publicitaria para 2018 frente al 2017 ya que las economías en la región se están estabilizando y obteniendo beneficios gracias a la recuperación de los precios de los </w:t>
      </w:r>
      <w:r w:rsidRPr="00CA67F6">
        <w:rPr>
          <w:i/>
          <w:sz w:val="20"/>
          <w:szCs w:val="20"/>
          <w:lang w:val="es-AR"/>
        </w:rPr>
        <w:t>commodities</w:t>
      </w:r>
      <w:r w:rsidRPr="00CA67F6">
        <w:rPr>
          <w:sz w:val="20"/>
          <w:szCs w:val="20"/>
          <w:lang w:val="es-AR"/>
        </w:rPr>
        <w:t>.</w:t>
      </w:r>
    </w:p>
    <w:p w14:paraId="324D3C4D" w14:textId="77777777" w:rsidR="00CA67F6" w:rsidRPr="00CA67F6" w:rsidRDefault="00CA67F6" w:rsidP="00CA67F6">
      <w:pPr>
        <w:autoSpaceDE w:val="0"/>
        <w:autoSpaceDN w:val="0"/>
        <w:adjustRightInd w:val="0"/>
        <w:spacing w:after="0" w:line="240" w:lineRule="auto"/>
        <w:jc w:val="both"/>
        <w:rPr>
          <w:sz w:val="20"/>
          <w:szCs w:val="20"/>
          <w:lang w:val="es-AR"/>
        </w:rPr>
      </w:pPr>
    </w:p>
    <w:p w14:paraId="12D25B83" w14:textId="77777777" w:rsidR="00CA67F6" w:rsidRDefault="00CA67F6" w:rsidP="00CA67F6">
      <w:pPr>
        <w:autoSpaceDE w:val="0"/>
        <w:autoSpaceDN w:val="0"/>
        <w:adjustRightInd w:val="0"/>
        <w:spacing w:after="0" w:line="240" w:lineRule="auto"/>
        <w:jc w:val="both"/>
        <w:rPr>
          <w:sz w:val="20"/>
          <w:szCs w:val="20"/>
          <w:lang w:val="es-AR"/>
        </w:rPr>
      </w:pPr>
      <w:r w:rsidRPr="00CA67F6">
        <w:rPr>
          <w:b/>
          <w:sz w:val="20"/>
          <w:szCs w:val="20"/>
          <w:lang w:val="es-AR"/>
        </w:rPr>
        <w:t>La televisión continúa siendo la principal categoría de medios</w:t>
      </w:r>
      <w:r w:rsidRPr="00CA67F6">
        <w:rPr>
          <w:sz w:val="20"/>
          <w:szCs w:val="20"/>
          <w:lang w:val="es-AR"/>
        </w:rPr>
        <w:t xml:space="preserve"> en la región con 54% del total de ventas publicitarias para fines de 2017, sensiblemente por encima del promedio global (35%). Se espera que la televisión mantenga el liderazgo entre los medios hasta 2021, momento en el cual digital finalmente pasará a ser el principal formato de medios en Argentina y Brasil. La TV abierta es el segmento dominante (+4% en 2018) controlando un 80% del total del NAR en TV, mientras que TV Paga está experimentando un crecimiento más rápido (+6% en 2018) debido a que los costos de las suscripciones y la programación cada vez se tornan más atractivos. Otro impulsor es el cambio que se está dando en los modelos de venta, pasando de ser un modelo de cable –en el cual los anunciantes compran tiempo de transmisión empaquetado con mínimo control sobre en qué canales aparecen sus campañas-  hacia un modelo de venta directa –en el cual los anunciantes y las agencias efectúan las compras de forma individual a los proveedores de TV Paga. Por ejemplo, esta situación se está dando en Chile y Uruguay.</w:t>
      </w:r>
    </w:p>
    <w:p w14:paraId="1464FF8E" w14:textId="77777777" w:rsidR="00CA67F6" w:rsidRPr="00CA67F6" w:rsidRDefault="00CA67F6" w:rsidP="00CA67F6">
      <w:pPr>
        <w:autoSpaceDE w:val="0"/>
        <w:autoSpaceDN w:val="0"/>
        <w:adjustRightInd w:val="0"/>
        <w:spacing w:after="0" w:line="240" w:lineRule="auto"/>
        <w:jc w:val="both"/>
        <w:rPr>
          <w:sz w:val="20"/>
          <w:szCs w:val="20"/>
          <w:lang w:val="es-AR"/>
        </w:rPr>
      </w:pPr>
    </w:p>
    <w:p w14:paraId="2B0D78F9" w14:textId="77777777" w:rsidR="00CA67F6" w:rsidRP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 xml:space="preserve">Como siempre la televisión se beneficiará de una mayor audiencia e interés en la marca durante la </w:t>
      </w:r>
      <w:r w:rsidRPr="00CA67F6">
        <w:rPr>
          <w:b/>
          <w:sz w:val="20"/>
          <w:szCs w:val="20"/>
          <w:lang w:val="es-AR"/>
        </w:rPr>
        <w:t>Copa Mundial de la FIFA</w:t>
      </w:r>
      <w:r w:rsidRPr="00CA67F6">
        <w:rPr>
          <w:sz w:val="20"/>
          <w:szCs w:val="20"/>
          <w:lang w:val="es-AR"/>
        </w:rPr>
        <w:t xml:space="preserve">, a pesar de que el entusiasmo probablemente no sea tan alto como hace cuatro años cuando se jugó el campeonato en Brasil. Por otra parte la diferencia horaria podría ser también un punto a tener en cuenta, si bien el evento garantiza un incremento en las ventas publicitarias en TV, especialmente en </w:t>
      </w:r>
      <w:r w:rsidRPr="00CA67F6">
        <w:rPr>
          <w:b/>
          <w:sz w:val="20"/>
          <w:szCs w:val="20"/>
          <w:lang w:val="es-AR"/>
        </w:rPr>
        <w:t>los ocho países que han clasificado este año</w:t>
      </w:r>
      <w:r w:rsidRPr="00CA67F6">
        <w:rPr>
          <w:sz w:val="20"/>
          <w:szCs w:val="20"/>
          <w:lang w:val="es-AR"/>
        </w:rPr>
        <w:t>: Brasil, Argentina, Uruguay, Colombia y Perú en América de sur, así como también México, Costa Rica y Panamá por parte de América Central.</w:t>
      </w:r>
    </w:p>
    <w:p w14:paraId="3EE6ADC4" w14:textId="77777777" w:rsidR="00CA67F6" w:rsidRPr="00CA67F6" w:rsidRDefault="00CA67F6" w:rsidP="00CA67F6">
      <w:pPr>
        <w:autoSpaceDE w:val="0"/>
        <w:autoSpaceDN w:val="0"/>
        <w:adjustRightInd w:val="0"/>
        <w:spacing w:after="0" w:line="240" w:lineRule="auto"/>
        <w:jc w:val="both"/>
        <w:rPr>
          <w:b/>
          <w:sz w:val="20"/>
          <w:szCs w:val="20"/>
          <w:lang w:val="es-AR"/>
        </w:rPr>
      </w:pPr>
    </w:p>
    <w:p w14:paraId="32A512B8" w14:textId="77777777" w:rsidR="00CA67F6" w:rsidRDefault="00CA67F6" w:rsidP="00CA67F6">
      <w:pPr>
        <w:autoSpaceDE w:val="0"/>
        <w:autoSpaceDN w:val="0"/>
        <w:adjustRightInd w:val="0"/>
        <w:spacing w:after="0" w:line="240" w:lineRule="auto"/>
        <w:jc w:val="both"/>
        <w:rPr>
          <w:sz w:val="20"/>
          <w:szCs w:val="20"/>
          <w:lang w:val="es-AR"/>
        </w:rPr>
      </w:pPr>
      <w:r w:rsidRPr="00CA67F6">
        <w:rPr>
          <w:b/>
          <w:sz w:val="20"/>
          <w:szCs w:val="20"/>
          <w:lang w:val="es-AR"/>
        </w:rPr>
        <w:t>La publicidad digital</w:t>
      </w:r>
      <w:r w:rsidRPr="00CA67F6">
        <w:rPr>
          <w:sz w:val="20"/>
          <w:szCs w:val="20"/>
          <w:lang w:val="es-AR"/>
        </w:rPr>
        <w:t xml:space="preserve"> en América Latina se mantiene a un nivel inferior que el promedio global, inhibida por una penetración digital relativamente baja y por el gran poder de la televisión. Se prevé que tenga un crecimiento del +23%, alcanzando un 32% del total de la participación de medios para fines de 2018, aun considerablemente por debajo del promedio global de 44%. Las redes sociales (+30%) y vídeo digital (+33%) tendrán un importante crecimiento una vez más el año que viene, mientras que search (+21%) se mantendrá como el principal tipo de medio con un 36% del total de ventas publicitarias digitales.</w:t>
      </w:r>
    </w:p>
    <w:p w14:paraId="01ACA735" w14:textId="77777777" w:rsidR="00CA67F6" w:rsidRPr="00CA67F6" w:rsidRDefault="00CA67F6" w:rsidP="00CA67F6">
      <w:pPr>
        <w:autoSpaceDE w:val="0"/>
        <w:autoSpaceDN w:val="0"/>
        <w:adjustRightInd w:val="0"/>
        <w:spacing w:after="0" w:line="240" w:lineRule="auto"/>
        <w:jc w:val="both"/>
        <w:rPr>
          <w:sz w:val="20"/>
          <w:szCs w:val="20"/>
          <w:lang w:val="es-AR"/>
        </w:rPr>
      </w:pPr>
    </w:p>
    <w:p w14:paraId="01CBE082" w14:textId="77777777" w:rsidR="00CA67F6" w:rsidRDefault="00CA67F6" w:rsidP="00CA67F6">
      <w:pPr>
        <w:autoSpaceDE w:val="0"/>
        <w:autoSpaceDN w:val="0"/>
        <w:adjustRightInd w:val="0"/>
        <w:spacing w:after="0" w:line="240" w:lineRule="auto"/>
        <w:jc w:val="both"/>
        <w:rPr>
          <w:b/>
          <w:bCs/>
          <w:sz w:val="20"/>
          <w:szCs w:val="20"/>
          <w:lang w:val="es-AR"/>
        </w:rPr>
      </w:pPr>
      <w:r w:rsidRPr="00CA67F6">
        <w:rPr>
          <w:b/>
          <w:bCs/>
          <w:sz w:val="20"/>
          <w:szCs w:val="20"/>
          <w:lang w:val="es-AR"/>
        </w:rPr>
        <w:t>Brasil: +12%</w:t>
      </w:r>
    </w:p>
    <w:p w14:paraId="57974DB5" w14:textId="77777777" w:rsidR="00CA67F6" w:rsidRPr="00CA67F6" w:rsidRDefault="00CA67F6" w:rsidP="00CA67F6">
      <w:pPr>
        <w:autoSpaceDE w:val="0"/>
        <w:autoSpaceDN w:val="0"/>
        <w:adjustRightInd w:val="0"/>
        <w:spacing w:after="0" w:line="240" w:lineRule="auto"/>
        <w:jc w:val="both"/>
        <w:rPr>
          <w:b/>
          <w:bCs/>
          <w:sz w:val="20"/>
          <w:szCs w:val="20"/>
          <w:lang w:val="es-AR"/>
        </w:rPr>
      </w:pPr>
    </w:p>
    <w:p w14:paraId="05708F88" w14:textId="77777777" w:rsidR="00CA67F6" w:rsidRDefault="00CA67F6" w:rsidP="00CA67F6">
      <w:pPr>
        <w:autoSpaceDE w:val="0"/>
        <w:autoSpaceDN w:val="0"/>
        <w:adjustRightInd w:val="0"/>
        <w:spacing w:after="0" w:line="240" w:lineRule="auto"/>
        <w:jc w:val="both"/>
        <w:rPr>
          <w:sz w:val="20"/>
          <w:szCs w:val="20"/>
          <w:lang w:val="es-AR"/>
        </w:rPr>
      </w:pPr>
      <w:r w:rsidRPr="00CA67F6">
        <w:rPr>
          <w:b/>
          <w:sz w:val="20"/>
          <w:szCs w:val="20"/>
          <w:lang w:val="es-AR"/>
        </w:rPr>
        <w:t>Con 49 mil millones de BRL en NAR (aprox. 14 mil millones de dólares),</w:t>
      </w:r>
      <w:r w:rsidRPr="00CA67F6">
        <w:rPr>
          <w:sz w:val="20"/>
          <w:szCs w:val="20"/>
          <w:lang w:val="es-AR"/>
        </w:rPr>
        <w:t xml:space="preserve"> Brasil se posiciona como el </w:t>
      </w:r>
      <w:r w:rsidRPr="00CA67F6">
        <w:rPr>
          <w:b/>
          <w:sz w:val="20"/>
          <w:szCs w:val="20"/>
          <w:lang w:val="es-AR"/>
        </w:rPr>
        <w:t xml:space="preserve">sexto mayor mercado publicitario </w:t>
      </w:r>
      <w:r w:rsidRPr="00CA67F6">
        <w:rPr>
          <w:sz w:val="20"/>
          <w:szCs w:val="20"/>
          <w:lang w:val="es-AR"/>
        </w:rPr>
        <w:t>en el mundo y representa más de la mitad de la inversión publicitaria en LATAM.</w:t>
      </w:r>
    </w:p>
    <w:p w14:paraId="628CEE19" w14:textId="77777777" w:rsidR="00CA67F6" w:rsidRPr="00CA67F6" w:rsidRDefault="00CA67F6" w:rsidP="00CA67F6">
      <w:pPr>
        <w:autoSpaceDE w:val="0"/>
        <w:autoSpaceDN w:val="0"/>
        <w:adjustRightInd w:val="0"/>
        <w:spacing w:after="0" w:line="240" w:lineRule="auto"/>
        <w:jc w:val="both"/>
        <w:rPr>
          <w:sz w:val="20"/>
          <w:szCs w:val="20"/>
          <w:lang w:val="es-AR"/>
        </w:rPr>
      </w:pPr>
    </w:p>
    <w:p w14:paraId="4A3EFFA4" w14:textId="77777777" w:rsidR="00CA67F6" w:rsidRDefault="00CA67F6" w:rsidP="00CA67F6">
      <w:pPr>
        <w:autoSpaceDE w:val="0"/>
        <w:autoSpaceDN w:val="0"/>
        <w:adjustRightInd w:val="0"/>
        <w:spacing w:after="0" w:line="240" w:lineRule="auto"/>
        <w:jc w:val="both"/>
        <w:rPr>
          <w:sz w:val="20"/>
          <w:szCs w:val="20"/>
          <w:lang w:val="es-AR"/>
        </w:rPr>
      </w:pPr>
      <w:r w:rsidRPr="00CA67F6">
        <w:rPr>
          <w:b/>
          <w:sz w:val="20"/>
          <w:szCs w:val="20"/>
          <w:lang w:val="es-AR"/>
        </w:rPr>
        <w:t>La economía de Brasil ha comenzado a estabilizarse</w:t>
      </w:r>
      <w:r w:rsidRPr="00CA67F6">
        <w:rPr>
          <w:sz w:val="20"/>
          <w:szCs w:val="20"/>
          <w:lang w:val="es-AR"/>
        </w:rPr>
        <w:t xml:space="preserve"> tras la recesión del 2015 y 2016. El PBI real tendrá un crecimiento  de +1,5% en 2018, experimentando una leve aceleración tras la estabilización de 2017(+0,7%) y la fuerte recesión de 2016 (-3,6%), a pesar de que la inflación en el Índice de Precio del Consumidor (CPI) ha sufrido una caída desde su máximo alcanzado de 9% en 2015 a un tan solo 4% previsto para 2018. Por otra parte, la inflación en los costos de medios se mantiene elevada (entre 6% y 10% a lo largo de las categorías de medios). Sin embargo,  la confianza comercial continua siendo obstaculizada por la inestabilidad económica del presidente no electo Michel Temer, sucesor de la presidente Dilma Rouseff- quien fuera sometida a juicio político. El mismo ha enfrentado varios escándalos por corrupción. Se espera que las próximas elecciones </w:t>
      </w:r>
      <w:r w:rsidRPr="00CA67F6">
        <w:rPr>
          <w:sz w:val="20"/>
          <w:szCs w:val="20"/>
          <w:lang w:val="es-AR"/>
        </w:rPr>
        <w:lastRenderedPageBreak/>
        <w:t>presidenciales, programadas para octubre de 2018, puedan proporcionar mayor claridad al entorno político, pero se prevé que no afectarán directamente a la inversión publicitaria ya que los partidos políticos no podrán comprar espacios publicitarios en televisión.</w:t>
      </w:r>
    </w:p>
    <w:p w14:paraId="539721A7" w14:textId="77777777" w:rsidR="00CA67F6" w:rsidRPr="00CA67F6" w:rsidRDefault="00CA67F6" w:rsidP="00CA67F6">
      <w:pPr>
        <w:autoSpaceDE w:val="0"/>
        <w:autoSpaceDN w:val="0"/>
        <w:adjustRightInd w:val="0"/>
        <w:spacing w:after="0" w:line="240" w:lineRule="auto"/>
        <w:jc w:val="both"/>
        <w:rPr>
          <w:sz w:val="20"/>
          <w:szCs w:val="20"/>
          <w:lang w:val="es-AR"/>
        </w:rPr>
      </w:pPr>
    </w:p>
    <w:p w14:paraId="6DE21FFE"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 xml:space="preserve">En un entorno tan mezclado, </w:t>
      </w:r>
      <w:r w:rsidRPr="00CA67F6">
        <w:rPr>
          <w:b/>
          <w:sz w:val="20"/>
          <w:szCs w:val="20"/>
          <w:lang w:val="es-AR"/>
        </w:rPr>
        <w:t xml:space="preserve">MAGNA prevé que el NAR de los dueños de medios crecerá un +11,8% </w:t>
      </w:r>
      <w:r w:rsidRPr="00CA67F6">
        <w:rPr>
          <w:sz w:val="20"/>
          <w:szCs w:val="20"/>
          <w:lang w:val="es-AR"/>
        </w:rPr>
        <w:t>en 2018 tras haber experimentado un desempeño aceptable en 2017 (+9,7%). El mismo se verá impulsado por un fuerte crecimiento digital (+23%) acompañado de sólidas ventas publicitarias en TV: +5,4% para las canales en TV abierta y +9,2% para TV Paga. La Copa Mundial de la FIFA, que será televisada por Globo, SporTV y Fox Sports, ayudará a impulsar la inflación del costo (CPM +9%) y compensará las caídas en audiencias.</w:t>
      </w:r>
    </w:p>
    <w:p w14:paraId="67F2E513" w14:textId="77777777" w:rsidR="00CA67F6" w:rsidRPr="00CA67F6" w:rsidRDefault="00CA67F6" w:rsidP="00CA67F6">
      <w:pPr>
        <w:autoSpaceDE w:val="0"/>
        <w:autoSpaceDN w:val="0"/>
        <w:adjustRightInd w:val="0"/>
        <w:spacing w:after="0" w:line="240" w:lineRule="auto"/>
        <w:jc w:val="both"/>
        <w:rPr>
          <w:sz w:val="20"/>
          <w:szCs w:val="20"/>
          <w:lang w:val="es-AR"/>
        </w:rPr>
      </w:pPr>
    </w:p>
    <w:p w14:paraId="16F233A2" w14:textId="77777777" w:rsidR="00CA67F6" w:rsidRP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La publicidad móvil muestra un muy fuerte crecimiento (+52% en 2017) y ahora representa más del 55% de la inversión publicitaria digital en Brasil. Las tasas de penetración de internet y móvil alcanzaron casi un 60% en 2017 y continuarán creciendo durante los próximos cinco años. Google, Facebook y YouTube dominan los mercados de search, social y video, logrando alcanzar más del 90% del total de la audiencia en internet.</w:t>
      </w:r>
    </w:p>
    <w:p w14:paraId="64B3981B" w14:textId="77777777" w:rsidR="00CA67F6" w:rsidRPr="00CA67F6" w:rsidRDefault="00CA67F6" w:rsidP="00CA67F6">
      <w:pPr>
        <w:autoSpaceDE w:val="0"/>
        <w:autoSpaceDN w:val="0"/>
        <w:adjustRightInd w:val="0"/>
        <w:spacing w:after="0" w:line="240" w:lineRule="auto"/>
        <w:jc w:val="both"/>
        <w:rPr>
          <w:b/>
          <w:bCs/>
          <w:sz w:val="20"/>
          <w:szCs w:val="20"/>
          <w:lang w:val="es-AR"/>
        </w:rPr>
      </w:pPr>
    </w:p>
    <w:p w14:paraId="58DF1DDF" w14:textId="77777777" w:rsidR="00CA67F6" w:rsidRDefault="00CA67F6" w:rsidP="00CA67F6">
      <w:pPr>
        <w:autoSpaceDE w:val="0"/>
        <w:autoSpaceDN w:val="0"/>
        <w:adjustRightInd w:val="0"/>
        <w:spacing w:after="0" w:line="240" w:lineRule="auto"/>
        <w:jc w:val="both"/>
        <w:rPr>
          <w:b/>
          <w:bCs/>
          <w:sz w:val="20"/>
          <w:szCs w:val="20"/>
          <w:lang w:val="es-AR"/>
        </w:rPr>
      </w:pPr>
      <w:r w:rsidRPr="00CA67F6">
        <w:rPr>
          <w:b/>
          <w:bCs/>
          <w:sz w:val="20"/>
          <w:szCs w:val="20"/>
          <w:lang w:val="es-AR"/>
        </w:rPr>
        <w:t>México: +5%</w:t>
      </w:r>
    </w:p>
    <w:p w14:paraId="6C4AE8D6" w14:textId="77777777" w:rsidR="00CA67F6" w:rsidRPr="00CA67F6" w:rsidRDefault="00CA67F6" w:rsidP="00CA67F6">
      <w:pPr>
        <w:autoSpaceDE w:val="0"/>
        <w:autoSpaceDN w:val="0"/>
        <w:adjustRightInd w:val="0"/>
        <w:spacing w:after="0" w:line="240" w:lineRule="auto"/>
        <w:jc w:val="both"/>
        <w:rPr>
          <w:b/>
          <w:bCs/>
          <w:sz w:val="20"/>
          <w:szCs w:val="20"/>
          <w:lang w:val="es-AR"/>
        </w:rPr>
      </w:pPr>
    </w:p>
    <w:p w14:paraId="0289DA98"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 xml:space="preserve">Los ingresos publicitarios netos de las empresas de medios en México tendrán un crecimiento del </w:t>
      </w:r>
      <w:r w:rsidRPr="00CA67F6">
        <w:rPr>
          <w:b/>
          <w:sz w:val="20"/>
          <w:szCs w:val="20"/>
          <w:lang w:val="es-AR"/>
        </w:rPr>
        <w:t>+5% en 2018, alcanzando los 92 mil millones de pesos mexicanos</w:t>
      </w:r>
      <w:r w:rsidRPr="00CA67F6">
        <w:rPr>
          <w:sz w:val="20"/>
          <w:szCs w:val="20"/>
          <w:lang w:val="es-AR"/>
        </w:rPr>
        <w:t xml:space="preserve"> (aprox. 4.9 mil millones de dólares). La participación de México en la Copa Mundial de la FIFA por lo general genera un impulso en las ventas publicitarias en TV, pero quizás no sea suficiente para evitar que disminuya el NAR en TV (-1% alcanzando los 43 mil millones de pesos mexicanos). Las elecciones presidenciales están programadas para julio de 2018 pero no deberían generar un impacto directo en los ingresos de TV dado que los partidos políticos no pueden comprar espacio publicitario más allá de los minutos destinados por la ley.</w:t>
      </w:r>
    </w:p>
    <w:p w14:paraId="10D338E8" w14:textId="77777777" w:rsidR="00CA67F6" w:rsidRPr="00CA67F6" w:rsidRDefault="00CA67F6" w:rsidP="00CA67F6">
      <w:pPr>
        <w:autoSpaceDE w:val="0"/>
        <w:autoSpaceDN w:val="0"/>
        <w:adjustRightInd w:val="0"/>
        <w:spacing w:after="0" w:line="240" w:lineRule="auto"/>
        <w:jc w:val="both"/>
        <w:rPr>
          <w:sz w:val="20"/>
          <w:szCs w:val="20"/>
          <w:lang w:val="es-AR"/>
        </w:rPr>
      </w:pPr>
    </w:p>
    <w:p w14:paraId="7D939FE1"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 xml:space="preserve">El crecimiento publicitario se verá impulsado principalmente por un crecimiento del </w:t>
      </w:r>
      <w:r w:rsidRPr="00CA67F6">
        <w:rPr>
          <w:b/>
          <w:sz w:val="20"/>
          <w:szCs w:val="20"/>
          <w:lang w:val="es-AR"/>
        </w:rPr>
        <w:t>+16% en ventas publicitarias digitales</w:t>
      </w:r>
      <w:r w:rsidRPr="00CA67F6">
        <w:rPr>
          <w:sz w:val="20"/>
          <w:szCs w:val="20"/>
          <w:lang w:val="es-AR"/>
        </w:rPr>
        <w:t xml:space="preserve"> (llegando al 31% de participación de mercado) mientras que el NAR en gráfica tendrá una caída del -5%, radio tendrá un incremento del +5% y el NAR en OOH crecerá casi un +8%.</w:t>
      </w:r>
    </w:p>
    <w:p w14:paraId="123AC3C6" w14:textId="77777777" w:rsidR="00CA67F6" w:rsidRPr="00CA67F6" w:rsidRDefault="00CA67F6" w:rsidP="00CA67F6">
      <w:pPr>
        <w:autoSpaceDE w:val="0"/>
        <w:autoSpaceDN w:val="0"/>
        <w:adjustRightInd w:val="0"/>
        <w:spacing w:after="0" w:line="240" w:lineRule="auto"/>
        <w:jc w:val="both"/>
        <w:rPr>
          <w:sz w:val="20"/>
          <w:szCs w:val="20"/>
          <w:lang w:val="es-AR"/>
        </w:rPr>
      </w:pPr>
    </w:p>
    <w:p w14:paraId="23697074"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La extinción de la televisión análoga terrestre a comienzos del 2016 modificó la recepción de la TV e introdujo nuevos canales digitales que compiten con las nuevas cadenas de Televisa y Azteca. A su vez, esto produjo la fragmentación de la audiencia y la inflación en costos (+20%) para el CPM en TV Abierta así como también en vídeo digital. No obstante, la inflación del CPM se ha estabilizado en 2017 y se mantendrá en niveles moderados durante 2018 (+5%).</w:t>
      </w:r>
    </w:p>
    <w:p w14:paraId="73752BD6" w14:textId="77777777" w:rsidR="00CA67F6" w:rsidRPr="00CA67F6" w:rsidRDefault="00CA67F6" w:rsidP="00CA67F6">
      <w:pPr>
        <w:autoSpaceDE w:val="0"/>
        <w:autoSpaceDN w:val="0"/>
        <w:adjustRightInd w:val="0"/>
        <w:spacing w:after="0" w:line="240" w:lineRule="auto"/>
        <w:jc w:val="both"/>
        <w:rPr>
          <w:sz w:val="20"/>
          <w:szCs w:val="20"/>
          <w:lang w:val="es-AR"/>
        </w:rPr>
      </w:pPr>
    </w:p>
    <w:p w14:paraId="1F0BEA55"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Vídeo online ha tenido un crecimiento más rápido que cualquier otro formato publicitario y ya representa 32% de la publicidad digital, con más del doble del share global de 13%. Junto a YouTube, Facebook se está posicionando como otra plataforma publicitaria para video, particularmente en México donde las redes sociales cuentan con casi 80 millones de usuarios activos a nivel mensual. Asimismo, México tiene una de las mayores tasas de penetración de smartphones, impulsando un crecimiento en la ventas publicitarias móviles de +22% en 2018, representando 64% de la inversión publicitaria.</w:t>
      </w:r>
    </w:p>
    <w:p w14:paraId="711FB7AF" w14:textId="77777777" w:rsidR="00CA67F6" w:rsidRPr="00CA67F6" w:rsidRDefault="00CA67F6" w:rsidP="00CA67F6">
      <w:pPr>
        <w:autoSpaceDE w:val="0"/>
        <w:autoSpaceDN w:val="0"/>
        <w:adjustRightInd w:val="0"/>
        <w:spacing w:after="0" w:line="240" w:lineRule="auto"/>
        <w:jc w:val="both"/>
        <w:rPr>
          <w:sz w:val="20"/>
          <w:szCs w:val="20"/>
          <w:lang w:val="es-AR"/>
        </w:rPr>
      </w:pPr>
    </w:p>
    <w:p w14:paraId="272990B4" w14:textId="77777777" w:rsidR="00CA67F6" w:rsidRDefault="00CA67F6" w:rsidP="00CA67F6">
      <w:pPr>
        <w:autoSpaceDE w:val="0"/>
        <w:autoSpaceDN w:val="0"/>
        <w:adjustRightInd w:val="0"/>
        <w:spacing w:after="0" w:line="240" w:lineRule="auto"/>
        <w:jc w:val="both"/>
        <w:rPr>
          <w:b/>
          <w:bCs/>
          <w:sz w:val="20"/>
          <w:szCs w:val="20"/>
          <w:lang w:val="es-AR"/>
        </w:rPr>
      </w:pPr>
      <w:r w:rsidRPr="00CA67F6">
        <w:rPr>
          <w:b/>
          <w:bCs/>
          <w:sz w:val="20"/>
          <w:szCs w:val="20"/>
          <w:lang w:val="es-AR"/>
        </w:rPr>
        <w:t>Argentina: +24%</w:t>
      </w:r>
    </w:p>
    <w:p w14:paraId="68D6BA05" w14:textId="77777777" w:rsidR="00CA67F6" w:rsidRPr="00CA67F6" w:rsidRDefault="00CA67F6" w:rsidP="00CA67F6">
      <w:pPr>
        <w:autoSpaceDE w:val="0"/>
        <w:autoSpaceDN w:val="0"/>
        <w:adjustRightInd w:val="0"/>
        <w:spacing w:after="0" w:line="240" w:lineRule="auto"/>
        <w:jc w:val="both"/>
        <w:rPr>
          <w:b/>
          <w:bCs/>
          <w:sz w:val="20"/>
          <w:szCs w:val="20"/>
          <w:lang w:val="es-AR"/>
        </w:rPr>
      </w:pPr>
    </w:p>
    <w:p w14:paraId="00A10A5C"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 xml:space="preserve">Las ventas publicitarias en </w:t>
      </w:r>
      <w:r w:rsidRPr="00CA67F6">
        <w:rPr>
          <w:b/>
          <w:sz w:val="20"/>
          <w:szCs w:val="20"/>
          <w:lang w:val="es-AR"/>
        </w:rPr>
        <w:t xml:space="preserve">Argentina </w:t>
      </w:r>
      <w:r w:rsidRPr="00CA67F6">
        <w:rPr>
          <w:sz w:val="20"/>
          <w:szCs w:val="20"/>
          <w:lang w:val="es-AR"/>
        </w:rPr>
        <w:t>tendrán un crecimiento del +</w:t>
      </w:r>
      <w:r w:rsidRPr="00CA67F6">
        <w:rPr>
          <w:b/>
          <w:sz w:val="20"/>
          <w:szCs w:val="20"/>
          <w:lang w:val="es-AR"/>
        </w:rPr>
        <w:t>24% en 2018</w:t>
      </w:r>
      <w:r w:rsidRPr="00CA67F6">
        <w:rPr>
          <w:sz w:val="20"/>
          <w:szCs w:val="20"/>
          <w:lang w:val="es-AR"/>
        </w:rPr>
        <w:t xml:space="preserve">  hasta alcanzar los 100 mil millones de pesos (aprox. 6.7 mil millones de dólares a una tasa de cambio promedio constante en 2016).</w:t>
      </w:r>
    </w:p>
    <w:p w14:paraId="10AB3EFD" w14:textId="77777777" w:rsidR="00CA67F6" w:rsidRPr="00CA67F6" w:rsidRDefault="00CA67F6" w:rsidP="00CA67F6">
      <w:pPr>
        <w:autoSpaceDE w:val="0"/>
        <w:autoSpaceDN w:val="0"/>
        <w:adjustRightInd w:val="0"/>
        <w:spacing w:after="0" w:line="240" w:lineRule="auto"/>
        <w:jc w:val="both"/>
        <w:rPr>
          <w:sz w:val="20"/>
          <w:szCs w:val="20"/>
          <w:lang w:val="es-AR"/>
        </w:rPr>
      </w:pPr>
    </w:p>
    <w:p w14:paraId="3D170B0B"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La economía comenzó a estabilizarse en 2017 cuando el PBI real creció +2,5%, y se prevé que en el 2018 continúe el crecimiento económico y haya una desaceleración gradual de las tasas inflacionarias. Se prevé que la inflación del CPI se desacelere del 27% en 2017 a 18% en 2018, y continuará en descenso durante los próximos cinco años.</w:t>
      </w:r>
    </w:p>
    <w:p w14:paraId="149C3C57" w14:textId="77777777" w:rsidR="00CA67F6" w:rsidRPr="00CA67F6" w:rsidRDefault="00CA67F6" w:rsidP="00CA67F6">
      <w:pPr>
        <w:autoSpaceDE w:val="0"/>
        <w:autoSpaceDN w:val="0"/>
        <w:adjustRightInd w:val="0"/>
        <w:spacing w:after="0" w:line="240" w:lineRule="auto"/>
        <w:jc w:val="both"/>
        <w:rPr>
          <w:sz w:val="20"/>
          <w:szCs w:val="20"/>
          <w:lang w:val="es-AR"/>
        </w:rPr>
      </w:pPr>
    </w:p>
    <w:p w14:paraId="380F7180"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Como consecuencia, el crecimiento nominal de las ventas publicitaras, que tuvo un máximo de 47% en 2014 cuando la inflación rozaba el 40% anual, también se estabilizará durante los próximos cinco años alcanzando una cifra cercana al 10% por año.</w:t>
      </w:r>
    </w:p>
    <w:p w14:paraId="48C39392" w14:textId="77777777" w:rsidR="00CA67F6" w:rsidRPr="00CA67F6" w:rsidRDefault="00CA67F6" w:rsidP="00CA67F6">
      <w:pPr>
        <w:autoSpaceDE w:val="0"/>
        <w:autoSpaceDN w:val="0"/>
        <w:adjustRightInd w:val="0"/>
        <w:spacing w:after="0" w:line="240" w:lineRule="auto"/>
        <w:jc w:val="both"/>
        <w:rPr>
          <w:sz w:val="20"/>
          <w:szCs w:val="20"/>
          <w:lang w:val="es-AR"/>
        </w:rPr>
      </w:pPr>
    </w:p>
    <w:p w14:paraId="43820BE6" w14:textId="77777777" w:rsidR="00CA67F6" w:rsidRDefault="00CA67F6" w:rsidP="00CA67F6">
      <w:pPr>
        <w:autoSpaceDE w:val="0"/>
        <w:autoSpaceDN w:val="0"/>
        <w:adjustRightInd w:val="0"/>
        <w:spacing w:after="0" w:line="240" w:lineRule="auto"/>
        <w:jc w:val="both"/>
        <w:rPr>
          <w:sz w:val="20"/>
          <w:szCs w:val="20"/>
          <w:lang w:val="es-AR"/>
        </w:rPr>
      </w:pPr>
      <w:r w:rsidRPr="00CA67F6">
        <w:rPr>
          <w:b/>
          <w:sz w:val="20"/>
          <w:szCs w:val="20"/>
          <w:lang w:val="es-AR"/>
        </w:rPr>
        <w:t>La televisión</w:t>
      </w:r>
      <w:r w:rsidRPr="00CA67F6">
        <w:rPr>
          <w:sz w:val="20"/>
          <w:szCs w:val="20"/>
          <w:lang w:val="es-AR"/>
        </w:rPr>
        <w:t xml:space="preserve"> es aún el mayor medio en Argentina, representando un 36% del total de ventas publicitarias. El periódico se mantiene relativamente fuerte también con una participación de mercado de 19% para fines de 2017, lo cual es sensiblemente mayor que los promedios regionales y globales (5% y 8% respectivamente). No obstante, la lenta tasa de crecimiento nominal (3% en 2018) significa que la categoría está perdiendo participación a gran velocidad. Se prevé que el NAR en TV tenga un crecimiento de 29% en 2018, impulsado por la Copa Mundial de la FIFA y la clasificación a último momento de la selección nacional.</w:t>
      </w:r>
    </w:p>
    <w:p w14:paraId="12012A33" w14:textId="77777777" w:rsidR="00CA67F6" w:rsidRPr="00CA67F6" w:rsidRDefault="00CA67F6" w:rsidP="00CA67F6">
      <w:pPr>
        <w:autoSpaceDE w:val="0"/>
        <w:autoSpaceDN w:val="0"/>
        <w:adjustRightInd w:val="0"/>
        <w:spacing w:after="0" w:line="240" w:lineRule="auto"/>
        <w:jc w:val="both"/>
        <w:rPr>
          <w:sz w:val="20"/>
          <w:szCs w:val="20"/>
          <w:lang w:val="es-AR"/>
        </w:rPr>
      </w:pPr>
    </w:p>
    <w:p w14:paraId="6F0F4C92" w14:textId="77777777" w:rsidR="00CA67F6" w:rsidRPr="00CA67F6" w:rsidRDefault="00CA67F6" w:rsidP="00CA67F6">
      <w:pPr>
        <w:autoSpaceDE w:val="0"/>
        <w:autoSpaceDN w:val="0"/>
        <w:adjustRightInd w:val="0"/>
        <w:spacing w:after="0" w:line="240" w:lineRule="auto"/>
        <w:jc w:val="both"/>
        <w:rPr>
          <w:sz w:val="20"/>
          <w:szCs w:val="20"/>
          <w:lang w:val="es-AR"/>
        </w:rPr>
      </w:pPr>
      <w:r w:rsidRPr="00CA67F6">
        <w:rPr>
          <w:b/>
          <w:sz w:val="20"/>
          <w:szCs w:val="20"/>
          <w:lang w:val="es-AR"/>
        </w:rPr>
        <w:t xml:space="preserve">La publicidad digital </w:t>
      </w:r>
      <w:r w:rsidRPr="00CA67F6">
        <w:rPr>
          <w:sz w:val="20"/>
          <w:szCs w:val="20"/>
          <w:lang w:val="es-AR"/>
        </w:rPr>
        <w:t>está más desarrollada que en el resto de América Latina. Ya representa un 32% del total de ventas publicitarias hacia fines de 2017 y sobrepasará el NAR en televisión para 2019.</w:t>
      </w:r>
    </w:p>
    <w:p w14:paraId="38F96AF6" w14:textId="77777777" w:rsidR="00CA67F6" w:rsidRDefault="00CA67F6" w:rsidP="00CA67F6">
      <w:pPr>
        <w:autoSpaceDE w:val="0"/>
        <w:autoSpaceDN w:val="0"/>
        <w:adjustRightInd w:val="0"/>
        <w:spacing w:after="0" w:line="240" w:lineRule="auto"/>
        <w:jc w:val="both"/>
        <w:rPr>
          <w:b/>
          <w:bCs/>
          <w:sz w:val="20"/>
          <w:szCs w:val="20"/>
          <w:lang w:val="es-AR"/>
        </w:rPr>
      </w:pPr>
      <w:r w:rsidRPr="00CA67F6">
        <w:rPr>
          <w:b/>
          <w:bCs/>
          <w:sz w:val="20"/>
          <w:szCs w:val="20"/>
          <w:lang w:val="es-AR"/>
        </w:rPr>
        <w:t>Colombia: +5%</w:t>
      </w:r>
    </w:p>
    <w:p w14:paraId="51BC980E" w14:textId="77777777" w:rsidR="00CA67F6" w:rsidRPr="00CA67F6" w:rsidRDefault="00CA67F6" w:rsidP="00CA67F6">
      <w:pPr>
        <w:autoSpaceDE w:val="0"/>
        <w:autoSpaceDN w:val="0"/>
        <w:adjustRightInd w:val="0"/>
        <w:spacing w:after="0" w:line="240" w:lineRule="auto"/>
        <w:jc w:val="both"/>
        <w:rPr>
          <w:b/>
          <w:bCs/>
          <w:sz w:val="20"/>
          <w:szCs w:val="20"/>
          <w:lang w:val="es-AR"/>
        </w:rPr>
      </w:pPr>
    </w:p>
    <w:p w14:paraId="538924D3"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 xml:space="preserve">Los ingresos publicitarios netos de Colombia tendrán un crecimiento de </w:t>
      </w:r>
      <w:r w:rsidRPr="00CA67F6">
        <w:rPr>
          <w:b/>
          <w:sz w:val="20"/>
          <w:szCs w:val="20"/>
          <w:lang w:val="es-AR"/>
        </w:rPr>
        <w:t>+5,2% en 2018, alcanzando los 4.8 trillones de pesos COP (aprox. 1.6 mil millones de dólares)</w:t>
      </w:r>
      <w:r w:rsidRPr="00CA67F6">
        <w:rPr>
          <w:sz w:val="20"/>
          <w:szCs w:val="20"/>
          <w:lang w:val="es-AR"/>
        </w:rPr>
        <w:t>. El mercado publicitario en Colombia ocupa el cuarto lugar en la región, detrás de Brasil, Argentina y México.</w:t>
      </w:r>
    </w:p>
    <w:p w14:paraId="4B222D66" w14:textId="77777777" w:rsidR="00CA67F6" w:rsidRPr="00CA67F6" w:rsidRDefault="00CA67F6" w:rsidP="00CA67F6">
      <w:pPr>
        <w:autoSpaceDE w:val="0"/>
        <w:autoSpaceDN w:val="0"/>
        <w:adjustRightInd w:val="0"/>
        <w:spacing w:after="0" w:line="240" w:lineRule="auto"/>
        <w:jc w:val="both"/>
        <w:rPr>
          <w:sz w:val="20"/>
          <w:szCs w:val="20"/>
          <w:lang w:val="es-AR"/>
        </w:rPr>
      </w:pPr>
    </w:p>
    <w:p w14:paraId="4F569B1A"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 xml:space="preserve">Los canales de </w:t>
      </w:r>
      <w:r w:rsidRPr="00CA67F6">
        <w:rPr>
          <w:b/>
          <w:sz w:val="20"/>
          <w:szCs w:val="20"/>
          <w:lang w:val="es-AR"/>
        </w:rPr>
        <w:t xml:space="preserve">TV paga </w:t>
      </w:r>
      <w:r w:rsidRPr="00CA67F6">
        <w:rPr>
          <w:sz w:val="20"/>
          <w:szCs w:val="20"/>
          <w:lang w:val="es-AR"/>
        </w:rPr>
        <w:t>controlan más de la mitad del NAR para TV en Colombia debido a la alta penetración multicanal y el alcance. En 2018 las ventas publicitarias de TV Paga tendrán un crecimiento del +7% y representará un 58% de la inversión publicitaria en TV, mientras que TV Abierta crecerá tan solo +3%.</w:t>
      </w:r>
    </w:p>
    <w:p w14:paraId="79347380" w14:textId="77777777" w:rsidR="00CA67F6" w:rsidRPr="00CA67F6" w:rsidRDefault="00CA67F6" w:rsidP="00CA67F6">
      <w:pPr>
        <w:autoSpaceDE w:val="0"/>
        <w:autoSpaceDN w:val="0"/>
        <w:adjustRightInd w:val="0"/>
        <w:spacing w:after="0" w:line="240" w:lineRule="auto"/>
        <w:jc w:val="both"/>
        <w:rPr>
          <w:sz w:val="20"/>
          <w:szCs w:val="20"/>
          <w:lang w:val="es-AR"/>
        </w:rPr>
      </w:pPr>
    </w:p>
    <w:p w14:paraId="4889163A"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 xml:space="preserve">La publicidad en </w:t>
      </w:r>
      <w:r w:rsidRPr="00CA67F6">
        <w:rPr>
          <w:b/>
          <w:sz w:val="20"/>
          <w:szCs w:val="20"/>
          <w:lang w:val="es-AR"/>
        </w:rPr>
        <w:t xml:space="preserve">medios digitales </w:t>
      </w:r>
      <w:r w:rsidRPr="00CA67F6">
        <w:rPr>
          <w:sz w:val="20"/>
          <w:szCs w:val="20"/>
          <w:lang w:val="es-AR"/>
        </w:rPr>
        <w:t xml:space="preserve"> se encuentra bastante por debajo del desarrollo esperado y representa 16% del total de la inversión publicitaria. No obstante, es el medio de mayor crecimiento (+27%) tomando en cuenta que parte de una pequeña base.</w:t>
      </w:r>
    </w:p>
    <w:p w14:paraId="6C3FE058" w14:textId="77777777" w:rsidR="00CA67F6" w:rsidRPr="00CA67F6" w:rsidRDefault="00CA67F6" w:rsidP="00CA67F6">
      <w:pPr>
        <w:autoSpaceDE w:val="0"/>
        <w:autoSpaceDN w:val="0"/>
        <w:adjustRightInd w:val="0"/>
        <w:spacing w:after="0" w:line="240" w:lineRule="auto"/>
        <w:jc w:val="both"/>
        <w:rPr>
          <w:sz w:val="20"/>
          <w:szCs w:val="20"/>
          <w:lang w:val="es-AR"/>
        </w:rPr>
      </w:pPr>
    </w:p>
    <w:p w14:paraId="4E268A7B"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Por otra parte, Colombia se encuentra en medio de la transición hacia lo digital, lo cual se espera que concluya para el 31 de diciembre de 2019. Las señales televisivas actualmente se ofrecen en simulcast (análogo y digital), lo cual permite que todos continúen viendo la Televisión Terrestre que es un recurso de frecuencia para ajustar lo análogo y lo digital, y un periodo de transición hacia la digitalización total.</w:t>
      </w:r>
    </w:p>
    <w:p w14:paraId="698E9111" w14:textId="77777777" w:rsidR="00CA67F6" w:rsidRPr="00CA67F6" w:rsidRDefault="00CA67F6" w:rsidP="00CA67F6">
      <w:pPr>
        <w:autoSpaceDE w:val="0"/>
        <w:autoSpaceDN w:val="0"/>
        <w:adjustRightInd w:val="0"/>
        <w:spacing w:after="0" w:line="240" w:lineRule="auto"/>
        <w:jc w:val="both"/>
        <w:rPr>
          <w:sz w:val="20"/>
          <w:szCs w:val="20"/>
          <w:lang w:val="es-AR"/>
        </w:rPr>
      </w:pPr>
    </w:p>
    <w:p w14:paraId="379B819A"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Canal Uno, una nueva red televisiva abierta nacional, fue lanzada en agosto de 2017 por Plural Comunicaciones. A pesar de que Canal Uno espera convertirse en la competencia del duopolio comercial de RCN y Caracol, el mismo no puede competir aún en términos de cobertura. No obstante, a medida que progresa la transición digital, hay muchas expectativas de que podría alcanzar 90% de la población para fines de 2018.</w:t>
      </w:r>
    </w:p>
    <w:p w14:paraId="1D60382F" w14:textId="77777777" w:rsidR="00CA67F6" w:rsidRDefault="00CA67F6" w:rsidP="00CA67F6">
      <w:pPr>
        <w:autoSpaceDE w:val="0"/>
        <w:autoSpaceDN w:val="0"/>
        <w:adjustRightInd w:val="0"/>
        <w:spacing w:after="0" w:line="240" w:lineRule="auto"/>
        <w:jc w:val="both"/>
        <w:rPr>
          <w:sz w:val="20"/>
          <w:szCs w:val="20"/>
          <w:lang w:val="es-AR"/>
        </w:rPr>
      </w:pPr>
    </w:p>
    <w:p w14:paraId="0F5811FC" w14:textId="77777777" w:rsidR="00CA67F6" w:rsidRPr="00CA67F6" w:rsidRDefault="00CA67F6" w:rsidP="00CA67F6">
      <w:pPr>
        <w:autoSpaceDE w:val="0"/>
        <w:autoSpaceDN w:val="0"/>
        <w:adjustRightInd w:val="0"/>
        <w:spacing w:after="0" w:line="240" w:lineRule="auto"/>
        <w:jc w:val="both"/>
        <w:rPr>
          <w:sz w:val="20"/>
          <w:szCs w:val="20"/>
          <w:lang w:val="es-AR"/>
        </w:rPr>
      </w:pPr>
    </w:p>
    <w:p w14:paraId="63C7C084" w14:textId="38101F40" w:rsidR="00CA67F6" w:rsidRDefault="00CA67F6" w:rsidP="00CA67F6">
      <w:pPr>
        <w:autoSpaceDE w:val="0"/>
        <w:autoSpaceDN w:val="0"/>
        <w:adjustRightInd w:val="0"/>
        <w:spacing w:after="0" w:line="240" w:lineRule="auto"/>
        <w:jc w:val="both"/>
        <w:rPr>
          <w:b/>
          <w:bCs/>
          <w:sz w:val="20"/>
          <w:szCs w:val="20"/>
          <w:lang w:val="es-AR"/>
        </w:rPr>
      </w:pPr>
      <w:r w:rsidRPr="00CA67F6">
        <w:rPr>
          <w:b/>
          <w:bCs/>
          <w:sz w:val="20"/>
          <w:szCs w:val="20"/>
          <w:lang w:val="es-AR"/>
        </w:rPr>
        <w:t>Notas sobre el resto de los mercados</w:t>
      </w:r>
      <w:r>
        <w:rPr>
          <w:b/>
          <w:bCs/>
          <w:sz w:val="20"/>
          <w:szCs w:val="20"/>
          <w:lang w:val="es-AR"/>
        </w:rPr>
        <w:t xml:space="preserve"> LATAM</w:t>
      </w:r>
    </w:p>
    <w:p w14:paraId="40B698C9" w14:textId="77777777" w:rsidR="00CA67F6" w:rsidRPr="00CA67F6" w:rsidRDefault="00CA67F6" w:rsidP="00CA67F6">
      <w:pPr>
        <w:autoSpaceDE w:val="0"/>
        <w:autoSpaceDN w:val="0"/>
        <w:adjustRightInd w:val="0"/>
        <w:spacing w:after="0" w:line="240" w:lineRule="auto"/>
        <w:jc w:val="both"/>
        <w:rPr>
          <w:b/>
          <w:bCs/>
          <w:sz w:val="20"/>
          <w:szCs w:val="20"/>
          <w:lang w:val="es-AR"/>
        </w:rPr>
      </w:pPr>
    </w:p>
    <w:p w14:paraId="0131846A" w14:textId="77777777" w:rsidR="00CA67F6" w:rsidRDefault="00CA67F6" w:rsidP="00CA67F6">
      <w:pPr>
        <w:autoSpaceDE w:val="0"/>
        <w:autoSpaceDN w:val="0"/>
        <w:adjustRightInd w:val="0"/>
        <w:spacing w:after="0" w:line="240" w:lineRule="auto"/>
        <w:jc w:val="both"/>
        <w:rPr>
          <w:sz w:val="20"/>
          <w:szCs w:val="20"/>
          <w:lang w:val="es-AR"/>
        </w:rPr>
      </w:pPr>
      <w:r w:rsidRPr="00CA67F6">
        <w:rPr>
          <w:b/>
          <w:sz w:val="20"/>
          <w:szCs w:val="20"/>
          <w:lang w:val="es-AR"/>
        </w:rPr>
        <w:t>Perú</w:t>
      </w:r>
      <w:r w:rsidRPr="00CA67F6">
        <w:rPr>
          <w:sz w:val="20"/>
          <w:szCs w:val="20"/>
          <w:lang w:val="es-AR"/>
        </w:rPr>
        <w:t xml:space="preserve"> tuvo un crecimiento negativo de la inversión publicitaria en 2017 (-1%), principalmente debido a  serias inundaciones costeras que afectaron negativamente el crecimiento económico y llevaron a </w:t>
      </w:r>
      <w:r w:rsidRPr="00CA67F6">
        <w:rPr>
          <w:sz w:val="20"/>
          <w:szCs w:val="20"/>
          <w:lang w:val="es-AR"/>
        </w:rPr>
        <w:lastRenderedPageBreak/>
        <w:t>que algunas marcas redistribuyeran parte de su presupuesto publicitario como esfuerzos de socorro. Se prevé que el mercado se recupere en 2018 (+7%) a medida que el gobierno comience con el programa de reconstrucción para poder ayudar a las zonas más afectadas por las inundaciones, con lo cual algunos predicen que esto generará mayor inversión y mayor crecimiento laboral y consumo. La clasificación de Perú para la Copa Mundial de la FIFA por primera vez desde 1982, tras una intensa eliminatoria jugada contra Australia, también generará entusiasmo y un incremento en la inversión publicitaria para el año que viene. La televisión obtendrá los mayores beneficios.</w:t>
      </w:r>
    </w:p>
    <w:p w14:paraId="5D8BB7FC" w14:textId="77777777" w:rsidR="00CA67F6" w:rsidRPr="00CA67F6" w:rsidRDefault="00CA67F6" w:rsidP="00CA67F6">
      <w:pPr>
        <w:autoSpaceDE w:val="0"/>
        <w:autoSpaceDN w:val="0"/>
        <w:adjustRightInd w:val="0"/>
        <w:spacing w:after="0" w:line="240" w:lineRule="auto"/>
        <w:jc w:val="both"/>
        <w:rPr>
          <w:sz w:val="20"/>
          <w:szCs w:val="20"/>
          <w:lang w:val="es-AR"/>
        </w:rPr>
      </w:pPr>
    </w:p>
    <w:p w14:paraId="63B17EAB"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 xml:space="preserve">Algunos de los otros mercados más pequeños en América Latina continuarán experimentando un crecimiento en la inversión publicitaria. Se prevé que </w:t>
      </w:r>
      <w:r w:rsidRPr="00CA67F6">
        <w:rPr>
          <w:b/>
          <w:sz w:val="20"/>
          <w:szCs w:val="20"/>
          <w:lang w:val="es-AR"/>
        </w:rPr>
        <w:t>Costa Rica</w:t>
      </w:r>
      <w:r w:rsidRPr="00CA67F6">
        <w:rPr>
          <w:sz w:val="20"/>
          <w:szCs w:val="20"/>
          <w:lang w:val="es-AR"/>
        </w:rPr>
        <w:t xml:space="preserve"> tenga un +5% y </w:t>
      </w:r>
      <w:r w:rsidRPr="00CA67F6">
        <w:rPr>
          <w:b/>
          <w:sz w:val="20"/>
          <w:szCs w:val="20"/>
          <w:lang w:val="es-AR"/>
        </w:rPr>
        <w:t xml:space="preserve">Panamá </w:t>
      </w:r>
      <w:r w:rsidRPr="00CA67F6">
        <w:rPr>
          <w:sz w:val="20"/>
          <w:szCs w:val="20"/>
          <w:lang w:val="es-AR"/>
        </w:rPr>
        <w:t>un +8,5%. La participación total de medios en televisión para ambos países es un reflejo de la constante resistencia de la televisión en América Latina, así como también una menor participación total de medios para la inversión publicitaria digital. En el caso de Panamá se espera que la televisión alcance un 73% de medios totales en 2018. Tanto Costa Rica como Panamá clasificaron para la Copa Mundial de la FIFA 2018.</w:t>
      </w:r>
    </w:p>
    <w:p w14:paraId="541E214D" w14:textId="77777777" w:rsidR="00CA67F6" w:rsidRPr="00CA67F6" w:rsidRDefault="00CA67F6" w:rsidP="00CA67F6">
      <w:pPr>
        <w:autoSpaceDE w:val="0"/>
        <w:autoSpaceDN w:val="0"/>
        <w:adjustRightInd w:val="0"/>
        <w:spacing w:after="0" w:line="240" w:lineRule="auto"/>
        <w:jc w:val="both"/>
        <w:rPr>
          <w:sz w:val="20"/>
          <w:szCs w:val="20"/>
          <w:lang w:val="es-AR"/>
        </w:rPr>
      </w:pPr>
    </w:p>
    <w:p w14:paraId="2B554DC0" w14:textId="77777777" w:rsidR="00CA67F6" w:rsidRDefault="00CA67F6" w:rsidP="00CA67F6">
      <w:pPr>
        <w:autoSpaceDE w:val="0"/>
        <w:autoSpaceDN w:val="0"/>
        <w:adjustRightInd w:val="0"/>
        <w:spacing w:after="0" w:line="240" w:lineRule="auto"/>
        <w:jc w:val="both"/>
        <w:rPr>
          <w:sz w:val="20"/>
          <w:szCs w:val="20"/>
          <w:lang w:val="es-AR"/>
        </w:rPr>
      </w:pPr>
      <w:r w:rsidRPr="00CA67F6">
        <w:rPr>
          <w:b/>
          <w:sz w:val="20"/>
          <w:szCs w:val="20"/>
          <w:lang w:val="es-AR"/>
        </w:rPr>
        <w:t xml:space="preserve">Ecuador </w:t>
      </w:r>
      <w:r w:rsidRPr="00CA67F6">
        <w:rPr>
          <w:sz w:val="20"/>
          <w:szCs w:val="20"/>
          <w:lang w:val="es-AR"/>
        </w:rPr>
        <w:t>ha experimentado un continuo crecimiento negativo entre 2014 y 2016, y ahora continuará con su recuperación desde el2017 (+3%) alcanzando +4% de crecimiento anual en 2018. Al igual que Costa Rica y Panamá, la participación de medios totales en televisión se mantiene en un nivel alto (48%) y la participación en digital relativamente baja (24%).</w:t>
      </w:r>
    </w:p>
    <w:p w14:paraId="22F07040" w14:textId="77777777" w:rsidR="00CA67F6" w:rsidRPr="00CA67F6" w:rsidRDefault="00CA67F6" w:rsidP="00CA67F6">
      <w:pPr>
        <w:autoSpaceDE w:val="0"/>
        <w:autoSpaceDN w:val="0"/>
        <w:adjustRightInd w:val="0"/>
        <w:spacing w:after="0" w:line="240" w:lineRule="auto"/>
        <w:jc w:val="both"/>
        <w:rPr>
          <w:sz w:val="20"/>
          <w:szCs w:val="20"/>
          <w:lang w:val="es-AR"/>
        </w:rPr>
      </w:pPr>
    </w:p>
    <w:p w14:paraId="029485B6" w14:textId="77777777" w:rsid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 xml:space="preserve">Se prevé que </w:t>
      </w:r>
      <w:r w:rsidRPr="00CA67F6">
        <w:rPr>
          <w:b/>
          <w:sz w:val="20"/>
          <w:szCs w:val="20"/>
          <w:lang w:val="es-AR"/>
        </w:rPr>
        <w:t>Uruguay</w:t>
      </w:r>
      <w:r w:rsidRPr="00CA67F6">
        <w:rPr>
          <w:sz w:val="20"/>
          <w:szCs w:val="20"/>
          <w:lang w:val="es-AR"/>
        </w:rPr>
        <w:t xml:space="preserve"> tenga un crecimiento en la inversión publicitaria del </w:t>
      </w:r>
      <w:r w:rsidRPr="00CA67F6">
        <w:rPr>
          <w:b/>
          <w:sz w:val="20"/>
          <w:szCs w:val="20"/>
          <w:lang w:val="es-AR"/>
        </w:rPr>
        <w:t>+7,7% en 2018</w:t>
      </w:r>
      <w:r w:rsidRPr="00CA67F6">
        <w:rPr>
          <w:sz w:val="20"/>
          <w:szCs w:val="20"/>
          <w:lang w:val="es-AR"/>
        </w:rPr>
        <w:t>, en relación al +5,8% del 2017, lo cual estará impulsado por la inversión para la Copa Mundial y un esperado crecimiento en el sector turístico por parte de su país vecino Argentina. Los medios gráficos han sufrido los efectos de la rápida adopción de internet móvil, con lo cual el inversión publicitaria en revistas y periódicos ha estado disminuyendo a razón de dos dígitos durante los últimos años. Esta tendencia continuará durante 2018 a medida que la publicidad digital –estimulada por el fuerte crecimiento de móvil del 43%- gane mayor participación de mercado.</w:t>
      </w:r>
    </w:p>
    <w:p w14:paraId="7D0F0297" w14:textId="77777777" w:rsidR="00CA67F6" w:rsidRPr="00CA67F6" w:rsidRDefault="00CA67F6" w:rsidP="00CA67F6">
      <w:pPr>
        <w:autoSpaceDE w:val="0"/>
        <w:autoSpaceDN w:val="0"/>
        <w:adjustRightInd w:val="0"/>
        <w:spacing w:after="0" w:line="240" w:lineRule="auto"/>
        <w:jc w:val="both"/>
        <w:rPr>
          <w:sz w:val="20"/>
          <w:szCs w:val="20"/>
          <w:lang w:val="es-AR"/>
        </w:rPr>
      </w:pPr>
    </w:p>
    <w:p w14:paraId="16DA4B1F" w14:textId="77777777" w:rsidR="00CA67F6" w:rsidRPr="00CA67F6" w:rsidRDefault="00CA67F6" w:rsidP="00CA67F6">
      <w:pPr>
        <w:autoSpaceDE w:val="0"/>
        <w:autoSpaceDN w:val="0"/>
        <w:adjustRightInd w:val="0"/>
        <w:spacing w:after="0" w:line="240" w:lineRule="auto"/>
        <w:jc w:val="both"/>
        <w:rPr>
          <w:sz w:val="20"/>
          <w:szCs w:val="20"/>
          <w:lang w:val="es-AR"/>
        </w:rPr>
      </w:pPr>
      <w:r w:rsidRPr="00CA67F6">
        <w:rPr>
          <w:sz w:val="20"/>
          <w:szCs w:val="20"/>
          <w:lang w:val="es-AR"/>
        </w:rPr>
        <w:t>Durante el 2018 y 2019 podrían existir cambios en las regulaciones publicitarias para televisión. El parlamento está debatiendo nuevas regulaciones en torno a las bebidas espirituosas,  las cuales actualmente pueden hacer publicidad entre las 10pm y la 1am. Asimismo se está debatiendo la regulación/reducción de la cantidad máxima de espacio publicitario que los partidos políticos pueden comprar antes de las elecciones de octubre de 2019.</w:t>
      </w:r>
    </w:p>
    <w:p w14:paraId="094EB58C" w14:textId="77777777" w:rsidR="00CA67F6" w:rsidRDefault="00CA67F6" w:rsidP="00805E69">
      <w:pPr>
        <w:autoSpaceDE w:val="0"/>
        <w:autoSpaceDN w:val="0"/>
        <w:adjustRightInd w:val="0"/>
        <w:spacing w:after="0" w:line="240" w:lineRule="auto"/>
        <w:jc w:val="both"/>
        <w:rPr>
          <w:sz w:val="20"/>
          <w:szCs w:val="20"/>
          <w:lang w:val="es-AR"/>
        </w:rPr>
      </w:pPr>
    </w:p>
    <w:p w14:paraId="47A2E4FB" w14:textId="624C9678" w:rsidR="008C6E5D" w:rsidRPr="00291D96" w:rsidRDefault="008C6E5D" w:rsidP="00805E69">
      <w:pPr>
        <w:autoSpaceDE w:val="0"/>
        <w:autoSpaceDN w:val="0"/>
        <w:adjustRightInd w:val="0"/>
        <w:spacing w:after="0" w:line="240" w:lineRule="auto"/>
        <w:jc w:val="both"/>
        <w:rPr>
          <w:sz w:val="20"/>
          <w:szCs w:val="20"/>
          <w:lang w:val="es-AR"/>
        </w:rPr>
      </w:pPr>
      <w:r w:rsidRPr="00291D96">
        <w:rPr>
          <w:sz w:val="20"/>
          <w:szCs w:val="20"/>
          <w:lang w:val="es-AR"/>
        </w:rPr>
        <w:t>###</w:t>
      </w:r>
    </w:p>
    <w:p w14:paraId="26FE1850" w14:textId="77777777" w:rsidR="00F00994" w:rsidRPr="00291D96" w:rsidRDefault="00F00994" w:rsidP="00805E69">
      <w:pPr>
        <w:autoSpaceDE w:val="0"/>
        <w:autoSpaceDN w:val="0"/>
        <w:adjustRightInd w:val="0"/>
        <w:spacing w:after="0" w:line="240" w:lineRule="auto"/>
        <w:jc w:val="both"/>
        <w:rPr>
          <w:lang w:val="es-AR"/>
        </w:rPr>
      </w:pPr>
    </w:p>
    <w:p w14:paraId="4F373F55" w14:textId="213A444B" w:rsidR="008C6E5D" w:rsidRPr="00291D96" w:rsidRDefault="00C45584" w:rsidP="00805E69">
      <w:pPr>
        <w:autoSpaceDE w:val="0"/>
        <w:autoSpaceDN w:val="0"/>
        <w:adjustRightInd w:val="0"/>
        <w:spacing w:after="0" w:line="240" w:lineRule="auto"/>
        <w:jc w:val="both"/>
        <w:rPr>
          <w:rFonts w:cs="Interstate"/>
          <w:lang w:val="es-AR"/>
        </w:rPr>
      </w:pPr>
      <w:r w:rsidRPr="00291D96">
        <w:rPr>
          <w:rFonts w:cs="Interstate"/>
          <w:b/>
          <w:bCs/>
          <w:lang w:val="es-AR"/>
        </w:rPr>
        <w:t>Acerca de MAGNA</w:t>
      </w:r>
    </w:p>
    <w:p w14:paraId="00CBFD07" w14:textId="77777777" w:rsidR="00C45584" w:rsidRPr="00C45584" w:rsidRDefault="00C45584" w:rsidP="00805E69">
      <w:pPr>
        <w:spacing w:after="0" w:line="240" w:lineRule="auto"/>
        <w:jc w:val="both"/>
        <w:rPr>
          <w:rFonts w:ascii="Interstate" w:eastAsia="Roboto Medium" w:hAnsi="Interstate" w:cstheme="majorHAnsi"/>
          <w:lang w:val="es-AR"/>
        </w:rPr>
      </w:pPr>
      <w:r w:rsidRPr="00C45584">
        <w:rPr>
          <w:rFonts w:ascii="Interstate" w:eastAsia="Roboto Medium" w:hAnsi="Interstate" w:cstheme="majorHAnsi"/>
          <w:lang w:val="es-ES"/>
        </w:rPr>
        <w:t xml:space="preserve">MAGNA es la unidad centralizada de IPG </w:t>
      </w:r>
      <w:proofErr w:type="spellStart"/>
      <w:r w:rsidRPr="00C45584">
        <w:rPr>
          <w:rFonts w:ascii="Interstate" w:eastAsia="Roboto Medium" w:hAnsi="Interstate" w:cstheme="majorHAnsi"/>
          <w:lang w:val="es-ES"/>
        </w:rPr>
        <w:t>Mediabrands</w:t>
      </w:r>
      <w:proofErr w:type="spellEnd"/>
      <w:r w:rsidRPr="00C45584">
        <w:rPr>
          <w:rFonts w:ascii="Interstate" w:eastAsia="Roboto Medium" w:hAnsi="Interstate" w:cstheme="majorHAnsi"/>
          <w:lang w:val="es-ES"/>
        </w:rPr>
        <w:t xml:space="preserve">, encargada del desarrollo de la inteligencia, inversión y estrategias de innovación para los equipos de las agencias y los clientes. Utilizamos nuestros </w:t>
      </w:r>
      <w:proofErr w:type="spellStart"/>
      <w:r w:rsidRPr="00C45584">
        <w:rPr>
          <w:rFonts w:ascii="Interstate" w:eastAsia="Roboto Medium" w:hAnsi="Interstate" w:cstheme="majorHAnsi"/>
          <w:i/>
          <w:lang w:val="es-ES"/>
        </w:rPr>
        <w:t>insights</w:t>
      </w:r>
      <w:proofErr w:type="spellEnd"/>
      <w:r w:rsidRPr="00C45584">
        <w:rPr>
          <w:rFonts w:ascii="Interstate" w:eastAsia="Roboto Medium" w:hAnsi="Interstate" w:cstheme="majorHAnsi"/>
          <w:lang w:val="es-ES"/>
        </w:rPr>
        <w:t xml:space="preserve">, previsiones y relaciones estratégicas para brindar a los clientes una ventaja competitiva en el mercado. </w:t>
      </w:r>
    </w:p>
    <w:p w14:paraId="2CB6983C" w14:textId="77777777" w:rsidR="00C45584" w:rsidRPr="00C45584" w:rsidRDefault="00C45584" w:rsidP="00805E69">
      <w:pPr>
        <w:jc w:val="both"/>
        <w:rPr>
          <w:rFonts w:ascii="Interstate" w:eastAsia="Roboto Medium" w:hAnsi="Interstate" w:cstheme="majorHAnsi"/>
          <w:lang w:val="es-ES"/>
        </w:rPr>
      </w:pPr>
    </w:p>
    <w:p w14:paraId="73FB1375" w14:textId="77777777" w:rsidR="00C45584" w:rsidRPr="00C45584" w:rsidRDefault="00C45584" w:rsidP="00805E69">
      <w:pPr>
        <w:jc w:val="both"/>
        <w:rPr>
          <w:rFonts w:ascii="Interstate" w:eastAsia="Roboto Medium" w:hAnsi="Interstate" w:cstheme="majorHAnsi"/>
          <w:lang w:val="es-AR"/>
        </w:rPr>
      </w:pPr>
      <w:r w:rsidRPr="00C45584">
        <w:rPr>
          <w:rFonts w:ascii="Interstate" w:eastAsia="Roboto Medium" w:hAnsi="Interstate" w:cstheme="majorHAnsi"/>
          <w:lang w:val="es-ES"/>
        </w:rPr>
        <w:t xml:space="preserve">MAGNA utiliza el volumen agregado de todas las inversiones de medios de IPG para generar un impulso en el mercado, negociar precios preferentes y asegurar un inventario </w:t>
      </w:r>
      <w:proofErr w:type="spellStart"/>
      <w:r w:rsidRPr="00C45584">
        <w:rPr>
          <w:rFonts w:ascii="Interstate" w:eastAsia="Roboto Medium" w:hAnsi="Interstate" w:cstheme="majorHAnsi"/>
          <w:i/>
          <w:lang w:val="es-ES"/>
        </w:rPr>
        <w:t>premium</w:t>
      </w:r>
      <w:proofErr w:type="spellEnd"/>
      <w:r w:rsidRPr="00C45584">
        <w:rPr>
          <w:rFonts w:ascii="Interstate" w:eastAsia="Roboto Medium" w:hAnsi="Interstate" w:cstheme="majorHAnsi"/>
          <w:lang w:val="es-ES"/>
        </w:rPr>
        <w:t xml:space="preserve">, generando así el máximo valor para nuestros clientes. Los equipos de Inversión e Innovación de MAGNA desarrollan estrategias de inversión </w:t>
      </w:r>
      <w:proofErr w:type="spellStart"/>
      <w:r w:rsidRPr="00C45584">
        <w:rPr>
          <w:rFonts w:ascii="Interstate" w:eastAsia="Roboto Medium" w:hAnsi="Interstate" w:cstheme="majorHAnsi"/>
          <w:i/>
          <w:lang w:val="es-ES"/>
        </w:rPr>
        <w:t>go-to-market</w:t>
      </w:r>
      <w:proofErr w:type="spellEnd"/>
      <w:r w:rsidRPr="00C45584">
        <w:rPr>
          <w:rFonts w:ascii="Interstate" w:eastAsia="Roboto Medium" w:hAnsi="Interstate" w:cstheme="majorHAnsi"/>
          <w:lang w:val="es-ES"/>
        </w:rPr>
        <w:t xml:space="preserve"> para todos los canales, incluyendo televisión lineal, gráfica, digital y compra programática en nombre de nuestros clientes. Nos concentramos en </w:t>
      </w:r>
      <w:r w:rsidRPr="00C45584">
        <w:rPr>
          <w:rFonts w:ascii="Interstate" w:eastAsia="Roboto Medium" w:hAnsi="Interstate" w:cstheme="majorHAnsi"/>
          <w:lang w:val="es-ES"/>
        </w:rPr>
        <w:lastRenderedPageBreak/>
        <w:t xml:space="preserve">el uso de oportunidades en medios emergentes y en las soluciones basadas en datos y tecnología para impulsar el óptimo rendimiento de los clientes y los resultados comerciales. </w:t>
      </w:r>
    </w:p>
    <w:p w14:paraId="022656CC" w14:textId="400E8F35" w:rsidR="00C45584" w:rsidRPr="00C45584" w:rsidRDefault="00C45584" w:rsidP="00805E69">
      <w:pPr>
        <w:spacing w:after="0" w:line="240" w:lineRule="auto"/>
        <w:jc w:val="both"/>
        <w:rPr>
          <w:rFonts w:ascii="Interstate" w:eastAsia="Calibri" w:hAnsi="Interstate" w:cs="SimSun"/>
          <w:lang w:val="es-ES"/>
        </w:rPr>
      </w:pPr>
      <w:r w:rsidRPr="00C45584">
        <w:rPr>
          <w:rFonts w:ascii="Interstate" w:eastAsia="Roboto Medium" w:hAnsi="Interstate" w:cstheme="majorHAnsi"/>
          <w:lang w:val="es-ES"/>
        </w:rPr>
        <w:t xml:space="preserve">MAGNA </w:t>
      </w:r>
      <w:proofErr w:type="spellStart"/>
      <w:r w:rsidRPr="00C45584">
        <w:rPr>
          <w:rFonts w:ascii="Interstate" w:eastAsia="Roboto Medium" w:hAnsi="Interstate" w:cstheme="majorHAnsi"/>
          <w:lang w:val="es-ES"/>
        </w:rPr>
        <w:t>Intelligence</w:t>
      </w:r>
      <w:proofErr w:type="spellEnd"/>
      <w:r w:rsidRPr="00C45584">
        <w:rPr>
          <w:rFonts w:ascii="Interstate" w:eastAsia="Roboto Medium" w:hAnsi="Interstate" w:cstheme="majorHAnsi"/>
          <w:lang w:val="es-ES"/>
        </w:rPr>
        <w:t xml:space="preserve"> ha marcado el camino en la industria por más de 60 años al pronosticar el futuro de los valores mediáticos. El equipo de MAGNA </w:t>
      </w:r>
      <w:proofErr w:type="spellStart"/>
      <w:r w:rsidRPr="00C45584">
        <w:rPr>
          <w:rFonts w:ascii="Interstate" w:eastAsia="Roboto Medium" w:hAnsi="Interstate" w:cstheme="majorHAnsi"/>
          <w:lang w:val="es-ES"/>
        </w:rPr>
        <w:t>Intelligence</w:t>
      </w:r>
      <w:proofErr w:type="spellEnd"/>
      <w:r w:rsidRPr="00C45584">
        <w:rPr>
          <w:rFonts w:ascii="Interstate" w:eastAsia="Roboto Medium" w:hAnsi="Interstate" w:cstheme="majorHAnsi"/>
          <w:lang w:val="es-ES"/>
        </w:rPr>
        <w:t xml:space="preserve"> realiza más de 40 informes anuales sobre tendencias de audiencias, inversión en medios, demanda del mercado y efectividad publicitaria. Para acceder a la totalidad de los informes y bases de datos o para obtener mayor información sobre servicios de investigación por suscripción, póngase en contacto con </w:t>
      </w:r>
      <w:hyperlink r:id="rId14" w:history="1">
        <w:r w:rsidRPr="00C45584">
          <w:rPr>
            <w:rStyle w:val="Hyperlink"/>
            <w:rFonts w:ascii="Interstate" w:eastAsia="Roboto Medium" w:hAnsi="Interstate" w:cstheme="majorHAnsi"/>
            <w:lang w:val="es-ES"/>
          </w:rPr>
          <w:t>forecasting@magnaglobal.com</w:t>
        </w:r>
      </w:hyperlink>
      <w:r w:rsidRPr="00C45584">
        <w:rPr>
          <w:rFonts w:ascii="Interstate" w:eastAsia="Roboto Medium" w:hAnsi="Interstate" w:cstheme="majorHAnsi"/>
          <w:lang w:val="es-ES"/>
        </w:rPr>
        <w:t xml:space="preserve"> </w:t>
      </w:r>
    </w:p>
    <w:p w14:paraId="13DC7F8B" w14:textId="77777777" w:rsidR="00C45584" w:rsidRPr="00512882" w:rsidRDefault="00C45584" w:rsidP="00805E69">
      <w:pPr>
        <w:jc w:val="both"/>
        <w:rPr>
          <w:lang w:val="es-AR"/>
        </w:rPr>
      </w:pPr>
    </w:p>
    <w:p w14:paraId="787021C2" w14:textId="77777777" w:rsidR="00C45584" w:rsidRPr="00C45584" w:rsidRDefault="00C45584" w:rsidP="00805E69">
      <w:pPr>
        <w:autoSpaceDE w:val="0"/>
        <w:autoSpaceDN w:val="0"/>
        <w:adjustRightInd w:val="0"/>
        <w:spacing w:after="0" w:line="240" w:lineRule="auto"/>
        <w:jc w:val="both"/>
        <w:rPr>
          <w:rFonts w:cs="Interstate"/>
          <w:color w:val="000000"/>
          <w:lang w:val="es-AR"/>
        </w:rPr>
      </w:pPr>
    </w:p>
    <w:p w14:paraId="3D39D0D3" w14:textId="77777777" w:rsidR="008C6E5D" w:rsidRPr="00C45584" w:rsidRDefault="008C6E5D" w:rsidP="00805E69">
      <w:pPr>
        <w:pBdr>
          <w:bottom w:val="thinThickThinMediumGap" w:sz="18" w:space="1" w:color="auto"/>
        </w:pBdr>
        <w:autoSpaceDE w:val="0"/>
        <w:autoSpaceDN w:val="0"/>
        <w:adjustRightInd w:val="0"/>
        <w:spacing w:after="0" w:line="240" w:lineRule="auto"/>
        <w:jc w:val="both"/>
        <w:rPr>
          <w:rFonts w:ascii="Interstate" w:hAnsi="Interstate" w:cs="Interstate"/>
          <w:color w:val="000000"/>
          <w:lang w:val="es-AR"/>
        </w:rPr>
      </w:pPr>
    </w:p>
    <w:p w14:paraId="535AACD0" w14:textId="77777777" w:rsidR="00C45584" w:rsidRPr="00291D96" w:rsidRDefault="00C45584" w:rsidP="00805E69">
      <w:pPr>
        <w:autoSpaceDE w:val="0"/>
        <w:autoSpaceDN w:val="0"/>
        <w:adjustRightInd w:val="0"/>
        <w:spacing w:after="0" w:line="240" w:lineRule="auto"/>
        <w:jc w:val="both"/>
        <w:rPr>
          <w:rFonts w:cs="Interstate"/>
          <w:color w:val="000000"/>
          <w:sz w:val="20"/>
          <w:szCs w:val="20"/>
          <w:lang w:val="es-AR"/>
        </w:rPr>
      </w:pPr>
    </w:p>
    <w:p w14:paraId="58A490E9" w14:textId="77777777" w:rsidR="00C45584" w:rsidRPr="00291D96" w:rsidRDefault="00C45584" w:rsidP="00805E69">
      <w:pPr>
        <w:autoSpaceDE w:val="0"/>
        <w:autoSpaceDN w:val="0"/>
        <w:adjustRightInd w:val="0"/>
        <w:spacing w:after="0" w:line="240" w:lineRule="auto"/>
        <w:jc w:val="both"/>
        <w:rPr>
          <w:rFonts w:cs="Interstate"/>
          <w:color w:val="000000"/>
          <w:sz w:val="20"/>
          <w:szCs w:val="20"/>
          <w:lang w:val="es-AR"/>
        </w:rPr>
      </w:pPr>
    </w:p>
    <w:p w14:paraId="34680C28" w14:textId="3A09A218" w:rsidR="008C6E5D" w:rsidRPr="008C6E5D" w:rsidRDefault="008C6E5D" w:rsidP="00805E69">
      <w:pPr>
        <w:autoSpaceDE w:val="0"/>
        <w:autoSpaceDN w:val="0"/>
        <w:adjustRightInd w:val="0"/>
        <w:spacing w:after="0" w:line="240" w:lineRule="auto"/>
        <w:jc w:val="both"/>
        <w:rPr>
          <w:rFonts w:cs="Interstate"/>
          <w:color w:val="000000"/>
        </w:rPr>
      </w:pPr>
      <w:proofErr w:type="spellStart"/>
      <w:r w:rsidRPr="008C6E5D">
        <w:rPr>
          <w:rFonts w:cs="Interstate"/>
          <w:b/>
          <w:bCs/>
          <w:color w:val="000000"/>
        </w:rPr>
        <w:t>Contact</w:t>
      </w:r>
      <w:r w:rsidR="00C45584">
        <w:rPr>
          <w:rFonts w:cs="Interstate"/>
          <w:b/>
          <w:bCs/>
          <w:color w:val="000000"/>
        </w:rPr>
        <w:t>o</w:t>
      </w:r>
      <w:proofErr w:type="spellEnd"/>
      <w:r w:rsidR="00C45584">
        <w:rPr>
          <w:rFonts w:cs="Interstate"/>
          <w:b/>
          <w:bCs/>
          <w:color w:val="000000"/>
        </w:rPr>
        <w:t xml:space="preserve"> de </w:t>
      </w:r>
      <w:proofErr w:type="spellStart"/>
      <w:r w:rsidR="00C45584">
        <w:rPr>
          <w:rFonts w:cs="Interstate"/>
          <w:b/>
          <w:bCs/>
          <w:color w:val="000000"/>
        </w:rPr>
        <w:t>medios</w:t>
      </w:r>
      <w:proofErr w:type="spellEnd"/>
      <w:r w:rsidRPr="008C6E5D">
        <w:rPr>
          <w:rFonts w:cs="Interstate"/>
          <w:b/>
          <w:bCs/>
          <w:color w:val="000000"/>
        </w:rPr>
        <w:t xml:space="preserve">: </w:t>
      </w:r>
    </w:p>
    <w:p w14:paraId="504A473D" w14:textId="77777777" w:rsidR="00CA67F6" w:rsidRDefault="00CA67F6" w:rsidP="00CA67F6">
      <w:pPr>
        <w:tabs>
          <w:tab w:val="left" w:pos="8580"/>
        </w:tabs>
        <w:jc w:val="both"/>
        <w:rPr>
          <w:rFonts w:cs="Interstate"/>
          <w:b/>
          <w:bCs/>
        </w:rPr>
      </w:pPr>
    </w:p>
    <w:p w14:paraId="6A36E650" w14:textId="77777777" w:rsidR="00CA67F6" w:rsidRPr="00CA67F6" w:rsidRDefault="00CA67F6" w:rsidP="00CA67F6">
      <w:pPr>
        <w:tabs>
          <w:tab w:val="left" w:pos="8580"/>
        </w:tabs>
        <w:jc w:val="both"/>
        <w:rPr>
          <w:rFonts w:cs="Interstate"/>
        </w:rPr>
      </w:pPr>
      <w:r w:rsidRPr="00CA67F6">
        <w:rPr>
          <w:rFonts w:cs="Interstate"/>
          <w:b/>
          <w:bCs/>
        </w:rPr>
        <w:t>Andrea Cardenal</w:t>
      </w:r>
    </w:p>
    <w:p w14:paraId="572E8C9D" w14:textId="77777777" w:rsidR="00CA67F6" w:rsidRPr="00CA67F6" w:rsidRDefault="00CA67F6" w:rsidP="00CA67F6">
      <w:pPr>
        <w:tabs>
          <w:tab w:val="left" w:pos="8580"/>
        </w:tabs>
        <w:jc w:val="both"/>
        <w:rPr>
          <w:rFonts w:cs="Interstate"/>
        </w:rPr>
      </w:pPr>
      <w:r w:rsidRPr="00CA67F6">
        <w:rPr>
          <w:rFonts w:cs="Interstate"/>
          <w:i/>
          <w:iCs/>
        </w:rPr>
        <w:t>Regional Communications Manager, LATAM</w:t>
      </w:r>
    </w:p>
    <w:p w14:paraId="2FD53F0C" w14:textId="4C9BDEE1" w:rsidR="00CA67F6" w:rsidRPr="00CA67F6" w:rsidRDefault="00CA67F6" w:rsidP="00CA67F6">
      <w:pPr>
        <w:tabs>
          <w:tab w:val="left" w:pos="8580"/>
        </w:tabs>
        <w:jc w:val="both"/>
        <w:rPr>
          <w:rFonts w:cs="Interstate"/>
        </w:rPr>
      </w:pPr>
      <w:r w:rsidRPr="00CA67F6">
        <w:rPr>
          <w:rFonts w:cs="Interstate"/>
          <w:b/>
          <w:bCs/>
        </w:rPr>
        <w:t>E </w:t>
      </w:r>
      <w:hyperlink r:id="rId15" w:history="1">
        <w:r w:rsidRPr="00CA67F6">
          <w:rPr>
            <w:rStyle w:val="Hyperlink"/>
            <w:rFonts w:cs="Interstate"/>
          </w:rPr>
          <w:t>Andrea.Cardenal@mbww.com</w:t>
        </w:r>
      </w:hyperlink>
    </w:p>
    <w:p w14:paraId="4CAC97B1" w14:textId="3EDB25F3" w:rsidR="00A57E34" w:rsidRPr="00AD6301" w:rsidRDefault="00055B62" w:rsidP="00CA67F6">
      <w:pPr>
        <w:tabs>
          <w:tab w:val="left" w:pos="8580"/>
        </w:tabs>
        <w:jc w:val="both"/>
        <w:rPr>
          <w:rFonts w:cs="Interstate"/>
          <w:color w:val="0000FF"/>
        </w:rPr>
      </w:pPr>
      <w:r w:rsidRPr="008C6E5D">
        <w:tab/>
      </w:r>
    </w:p>
    <w:sectPr w:rsidR="00A57E34" w:rsidRPr="00AD6301" w:rsidSect="00055B62">
      <w:headerReference w:type="default" r:id="rId16"/>
      <w:footerReference w:type="default" r:id="rId17"/>
      <w:type w:val="continuous"/>
      <w:pgSz w:w="12240" w:h="15840" w:code="1"/>
      <w:pgMar w:top="1584" w:right="1440" w:bottom="1584" w:left="1440" w:header="28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52389" w14:textId="77777777" w:rsidR="0056120E" w:rsidRDefault="0056120E" w:rsidP="00150EFA">
      <w:r>
        <w:separator/>
      </w:r>
    </w:p>
    <w:p w14:paraId="7F512AAA" w14:textId="77777777" w:rsidR="0056120E" w:rsidRDefault="0056120E" w:rsidP="00150EFA"/>
  </w:endnote>
  <w:endnote w:type="continuationSeparator" w:id="0">
    <w:p w14:paraId="6459BB15" w14:textId="77777777" w:rsidR="0056120E" w:rsidRDefault="0056120E" w:rsidP="00150EFA">
      <w:r>
        <w:continuationSeparator/>
      </w:r>
    </w:p>
    <w:p w14:paraId="616AF762" w14:textId="77777777" w:rsidR="0056120E" w:rsidRDefault="0056120E" w:rsidP="00150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nterstate Regular">
    <w:panose1 w:val="02000503020000020004"/>
    <w:charset w:val="00"/>
    <w:family w:val="auto"/>
    <w:pitch w:val="variable"/>
    <w:sig w:usb0="A00002AF" w:usb1="5000206A" w:usb2="00000000" w:usb3="00000000" w:csb0="0000009F" w:csb1="00000000"/>
  </w:font>
  <w:font w:name="Interstate Regular Cond">
    <w:altName w:val="Interstate Bold Cond"/>
    <w:charset w:val="00"/>
    <w:family w:val="auto"/>
    <w:pitch w:val="variable"/>
    <w:sig w:usb0="800000EF" w:usb1="5000204A"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Interstate Light">
    <w:panose1 w:val="02000506000000020004"/>
    <w:charset w:val="00"/>
    <w:family w:val="auto"/>
    <w:pitch w:val="variable"/>
    <w:sig w:usb0="A00002AF" w:usb1="5000206A" w:usb2="00000000" w:usb3="00000000" w:csb0="0000009F" w:csb1="00000000"/>
  </w:font>
  <w:font w:name="Interstate BlackCond">
    <w:panose1 w:val="02000506040000020004"/>
    <w:charset w:val="00"/>
    <w:family w:val="auto"/>
    <w:pitch w:val="variable"/>
    <w:sig w:usb0="800000AF" w:usb1="5000204A" w:usb2="00000000" w:usb3="00000000" w:csb0="00000001" w:csb1="00000000"/>
  </w:font>
  <w:font w:name="Interstate">
    <w:altName w:val="Cambria"/>
    <w:panose1 w:val="00000000000000000000"/>
    <w:charset w:val="00"/>
    <w:family w:val="roman"/>
    <w:notTrueType/>
    <w:pitch w:val="default"/>
    <w:sig w:usb0="00000003" w:usb1="00000000" w:usb2="00000000" w:usb3="00000000" w:csb0="00000001" w:csb1="00000000"/>
  </w:font>
  <w:font w:name="Roboto Medium">
    <w:panose1 w:val="02000000000000000000"/>
    <w:charset w:val="00"/>
    <w:family w:val="auto"/>
    <w:pitch w:val="variable"/>
    <w:sig w:usb0="E0000AFF" w:usb1="5000217F" w:usb2="00000021" w:usb3="00000000" w:csb0="0000019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4FFDD" w14:textId="6A6AE78F" w:rsidR="00D82FCA" w:rsidRPr="005036A8" w:rsidRDefault="00D82FCA" w:rsidP="00150EFA">
    <w:pPr>
      <w:pStyle w:val="Footer"/>
    </w:pPr>
    <w:r>
      <w:rPr>
        <w:noProof/>
      </w:rPr>
      <w:t>MAGNA Global Advertising Forecasts – December 2017</w:t>
    </w:r>
    <w:r>
      <w:rPr>
        <w:noProof/>
      </w:rPr>
      <w:tab/>
    </w:r>
    <w:r w:rsidRPr="00F46EC4">
      <w:t xml:space="preserve"> </w:t>
    </w:r>
    <w:sdt>
      <w:sdtPr>
        <w:id w:val="461618531"/>
        <w:docPartObj>
          <w:docPartGallery w:val="Page Numbers (Bottom of Page)"/>
          <w:docPartUnique/>
        </w:docPartObj>
      </w:sdtPr>
      <w:sdtEndPr>
        <w:rPr>
          <w:noProof/>
        </w:rPr>
      </w:sdtEndPr>
      <w:sdtContent>
        <w:r w:rsidRPr="005036A8">
          <w:fldChar w:fldCharType="begin"/>
        </w:r>
        <w:r w:rsidRPr="005036A8">
          <w:instrText xml:space="preserve"> PAGE   \* MERGEFORMAT </w:instrText>
        </w:r>
        <w:r w:rsidRPr="005036A8">
          <w:fldChar w:fldCharType="separate"/>
        </w:r>
        <w:r w:rsidR="002B5E0A">
          <w:rPr>
            <w:noProof/>
          </w:rPr>
          <w:t>1</w:t>
        </w:r>
        <w:r w:rsidRPr="005036A8">
          <w:rPr>
            <w:noProof/>
          </w:rPr>
          <w:fldChar w:fldCharType="end"/>
        </w:r>
        <w:r>
          <w:rPr>
            <w:noProof/>
          </w:rPr>
          <w:t>/15</w:t>
        </w:r>
      </w:sdtContent>
    </w:sdt>
  </w:p>
  <w:p w14:paraId="79189A72" w14:textId="77777777" w:rsidR="00D82FCA" w:rsidRPr="00346FC5" w:rsidRDefault="00D82FCA" w:rsidP="00150EFA">
    <w:pPr>
      <w:pStyle w:val="Footer"/>
    </w:pPr>
  </w:p>
  <w:p w14:paraId="3FEA0D76" w14:textId="77777777" w:rsidR="00D82FCA" w:rsidRDefault="00D82FCA" w:rsidP="00150EF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795B" w14:textId="4AB412CA" w:rsidR="00D82FCA" w:rsidRPr="0042227F" w:rsidRDefault="0042227F" w:rsidP="00150EFA">
    <w:pPr>
      <w:pStyle w:val="Footer"/>
      <w:rPr>
        <w:noProof/>
        <w:lang w:val="es-AR"/>
      </w:rPr>
    </w:pPr>
    <w:r w:rsidRPr="0042227F">
      <w:rPr>
        <w:noProof/>
        <w:lang w:val="es-AR"/>
      </w:rPr>
      <w:t>Proyecciones publicitarias globales de MAGNA</w:t>
    </w:r>
    <w:r w:rsidR="00D82FCA" w:rsidRPr="0042227F">
      <w:rPr>
        <w:noProof/>
        <w:lang w:val="es-AR"/>
      </w:rPr>
      <w:t xml:space="preserve"> – D</w:t>
    </w:r>
    <w:r>
      <w:rPr>
        <w:noProof/>
        <w:lang w:val="es-AR"/>
      </w:rPr>
      <w:t xml:space="preserve">iciembre de </w:t>
    </w:r>
    <w:r w:rsidR="00D82FCA" w:rsidRPr="0042227F">
      <w:rPr>
        <w:noProof/>
        <w:lang w:val="es-AR"/>
      </w:rPr>
      <w:t>2017</w:t>
    </w:r>
    <w:r w:rsidR="00D82FCA" w:rsidRPr="0042227F">
      <w:rPr>
        <w:noProof/>
        <w:lang w:val="es-AR"/>
      </w:rPr>
      <w:tab/>
    </w:r>
    <w:r w:rsidR="00D82FCA" w:rsidRPr="0042227F">
      <w:rPr>
        <w:lang w:val="es-AR"/>
      </w:rPr>
      <w:t xml:space="preserve"> </w:t>
    </w:r>
    <w:sdt>
      <w:sdtPr>
        <w:id w:val="1497143629"/>
        <w:docPartObj>
          <w:docPartGallery w:val="Page Numbers (Bottom of Page)"/>
          <w:docPartUnique/>
        </w:docPartObj>
      </w:sdtPr>
      <w:sdtEndPr>
        <w:rPr>
          <w:noProof/>
        </w:rPr>
      </w:sdtEndPr>
      <w:sdtContent>
        <w:r w:rsidR="00D82FCA" w:rsidRPr="005036A8">
          <w:fldChar w:fldCharType="begin"/>
        </w:r>
        <w:r w:rsidR="00D82FCA" w:rsidRPr="0042227F">
          <w:rPr>
            <w:lang w:val="es-AR"/>
          </w:rPr>
          <w:instrText xml:space="preserve"> PAGE   \* MERGEFORMAT </w:instrText>
        </w:r>
        <w:r w:rsidR="00D82FCA" w:rsidRPr="005036A8">
          <w:fldChar w:fldCharType="separate"/>
        </w:r>
        <w:r w:rsidR="002B5E0A">
          <w:rPr>
            <w:noProof/>
            <w:lang w:val="es-AR"/>
          </w:rPr>
          <w:t>14</w:t>
        </w:r>
        <w:r w:rsidR="00D82FCA" w:rsidRPr="005036A8">
          <w:rPr>
            <w:noProof/>
          </w:rPr>
          <w:fldChar w:fldCharType="end"/>
        </w:r>
        <w:r w:rsidR="00CA67F6">
          <w:rPr>
            <w:noProof/>
            <w:lang w:val="es-AR"/>
          </w:rPr>
          <w:t>/23</w:t>
        </w:r>
      </w:sdtContent>
    </w:sdt>
  </w:p>
  <w:p w14:paraId="441790FE" w14:textId="77777777" w:rsidR="00D82FCA" w:rsidRPr="0042227F" w:rsidRDefault="00D82FCA" w:rsidP="00150EFA">
    <w:pPr>
      <w:rPr>
        <w:lang w:val="es-A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C1C43" w14:textId="77777777" w:rsidR="0056120E" w:rsidRDefault="0056120E" w:rsidP="00150EFA">
      <w:r>
        <w:separator/>
      </w:r>
    </w:p>
    <w:p w14:paraId="27F5076A" w14:textId="77777777" w:rsidR="0056120E" w:rsidRDefault="0056120E" w:rsidP="00150EFA"/>
  </w:footnote>
  <w:footnote w:type="continuationSeparator" w:id="0">
    <w:p w14:paraId="3453D1C9" w14:textId="77777777" w:rsidR="0056120E" w:rsidRDefault="0056120E" w:rsidP="00150EFA">
      <w:r>
        <w:continuationSeparator/>
      </w:r>
    </w:p>
    <w:p w14:paraId="0EA3D4C7" w14:textId="77777777" w:rsidR="0056120E" w:rsidRDefault="0056120E" w:rsidP="00150EF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4304" w14:textId="77777777" w:rsidR="00D82FCA" w:rsidRDefault="00D82FCA" w:rsidP="002A40A0">
    <w:pPr>
      <w:pStyle w:val="Header"/>
      <w:ind w:left="7200"/>
    </w:pPr>
    <w:r>
      <w:rPr>
        <w:noProof/>
      </w:rPr>
      <w:drawing>
        <wp:inline distT="0" distB="0" distL="0" distR="0" wp14:anchorId="2A8D5146" wp14:editId="0A73AB65">
          <wp:extent cx="1360170" cy="5455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NA_Master_Black_RGB.eps"/>
                  <pic:cNvPicPr/>
                </pic:nvPicPr>
                <pic:blipFill>
                  <a:blip r:embed="rId1">
                    <a:extLst>
                      <a:ext uri="{28A0092B-C50C-407E-A947-70E740481C1C}">
                        <a14:useLocalDpi xmlns:a14="http://schemas.microsoft.com/office/drawing/2010/main" val="0"/>
                      </a:ext>
                    </a:extLst>
                  </a:blip>
                  <a:stretch>
                    <a:fillRect/>
                  </a:stretch>
                </pic:blipFill>
                <pic:spPr>
                  <a:xfrm>
                    <a:off x="0" y="0"/>
                    <a:ext cx="1434534" cy="57534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3ACD5" w14:textId="6BA66833" w:rsidR="00D82FCA" w:rsidRDefault="00D82FCA" w:rsidP="002A40A0">
    <w:pPr>
      <w:pStyle w:val="Header"/>
      <w:ind w:left="7200"/>
    </w:pPr>
    <w:r>
      <w:rPr>
        <w:noProof/>
      </w:rPr>
      <w:drawing>
        <wp:inline distT="0" distB="0" distL="0" distR="0" wp14:anchorId="69F861B7" wp14:editId="78C9869D">
          <wp:extent cx="1360170" cy="5455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NA_Master_Black_RGB.eps"/>
                  <pic:cNvPicPr/>
                </pic:nvPicPr>
                <pic:blipFill>
                  <a:blip r:embed="rId1">
                    <a:extLst>
                      <a:ext uri="{28A0092B-C50C-407E-A947-70E740481C1C}">
                        <a14:useLocalDpi xmlns:a14="http://schemas.microsoft.com/office/drawing/2010/main" val="0"/>
                      </a:ext>
                    </a:extLst>
                  </a:blip>
                  <a:stretch>
                    <a:fillRect/>
                  </a:stretch>
                </pic:blipFill>
                <pic:spPr>
                  <a:xfrm>
                    <a:off x="0" y="0"/>
                    <a:ext cx="1434534" cy="5753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1F2"/>
    <w:multiLevelType w:val="hybridMultilevel"/>
    <w:tmpl w:val="C546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17669"/>
    <w:multiLevelType w:val="hybridMultilevel"/>
    <w:tmpl w:val="9746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55D2D"/>
    <w:multiLevelType w:val="hybridMultilevel"/>
    <w:tmpl w:val="9CF01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511570"/>
    <w:multiLevelType w:val="hybridMultilevel"/>
    <w:tmpl w:val="2B3CE54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4">
    <w:nsid w:val="20922AB0"/>
    <w:multiLevelType w:val="hybridMultilevel"/>
    <w:tmpl w:val="DA1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82801"/>
    <w:multiLevelType w:val="hybridMultilevel"/>
    <w:tmpl w:val="CCD8F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6F0188"/>
    <w:multiLevelType w:val="hybridMultilevel"/>
    <w:tmpl w:val="D6FAB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2C1353"/>
    <w:multiLevelType w:val="hybridMultilevel"/>
    <w:tmpl w:val="064021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8C19DB"/>
    <w:multiLevelType w:val="hybridMultilevel"/>
    <w:tmpl w:val="0770941C"/>
    <w:lvl w:ilvl="0" w:tplc="CDB2D4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4296C"/>
    <w:multiLevelType w:val="hybridMultilevel"/>
    <w:tmpl w:val="BB1EE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5B249A"/>
    <w:multiLevelType w:val="hybridMultilevel"/>
    <w:tmpl w:val="0A3C0562"/>
    <w:lvl w:ilvl="0" w:tplc="DEC00A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CA3024"/>
    <w:multiLevelType w:val="hybridMultilevel"/>
    <w:tmpl w:val="3D72A4C2"/>
    <w:lvl w:ilvl="0" w:tplc="04090001">
      <w:start w:val="1"/>
      <w:numFmt w:val="bullet"/>
      <w:lvlText w:val=""/>
      <w:lvlJc w:val="left"/>
      <w:pPr>
        <w:tabs>
          <w:tab w:val="num" w:pos="360"/>
        </w:tabs>
        <w:ind w:left="360" w:hanging="360"/>
      </w:pPr>
      <w:rPr>
        <w:rFonts w:ascii="Symbol" w:hAnsi="Symbol" w:hint="default"/>
      </w:rPr>
    </w:lvl>
    <w:lvl w:ilvl="1" w:tplc="2F4E29E8" w:tentative="1">
      <w:start w:val="1"/>
      <w:numFmt w:val="decimal"/>
      <w:lvlText w:val="%2."/>
      <w:lvlJc w:val="left"/>
      <w:pPr>
        <w:tabs>
          <w:tab w:val="num" w:pos="1080"/>
        </w:tabs>
        <w:ind w:left="1080" w:hanging="360"/>
      </w:pPr>
    </w:lvl>
    <w:lvl w:ilvl="2" w:tplc="0F3CE710" w:tentative="1">
      <w:start w:val="1"/>
      <w:numFmt w:val="decimal"/>
      <w:lvlText w:val="%3."/>
      <w:lvlJc w:val="left"/>
      <w:pPr>
        <w:tabs>
          <w:tab w:val="num" w:pos="1800"/>
        </w:tabs>
        <w:ind w:left="1800" w:hanging="360"/>
      </w:pPr>
    </w:lvl>
    <w:lvl w:ilvl="3" w:tplc="CFA46FEC" w:tentative="1">
      <w:start w:val="1"/>
      <w:numFmt w:val="decimal"/>
      <w:lvlText w:val="%4."/>
      <w:lvlJc w:val="left"/>
      <w:pPr>
        <w:tabs>
          <w:tab w:val="num" w:pos="2520"/>
        </w:tabs>
        <w:ind w:left="2520" w:hanging="360"/>
      </w:pPr>
    </w:lvl>
    <w:lvl w:ilvl="4" w:tplc="320A072E" w:tentative="1">
      <w:start w:val="1"/>
      <w:numFmt w:val="decimal"/>
      <w:lvlText w:val="%5."/>
      <w:lvlJc w:val="left"/>
      <w:pPr>
        <w:tabs>
          <w:tab w:val="num" w:pos="3240"/>
        </w:tabs>
        <w:ind w:left="3240" w:hanging="360"/>
      </w:pPr>
    </w:lvl>
    <w:lvl w:ilvl="5" w:tplc="D92C0F08" w:tentative="1">
      <w:start w:val="1"/>
      <w:numFmt w:val="decimal"/>
      <w:lvlText w:val="%6."/>
      <w:lvlJc w:val="left"/>
      <w:pPr>
        <w:tabs>
          <w:tab w:val="num" w:pos="3960"/>
        </w:tabs>
        <w:ind w:left="3960" w:hanging="360"/>
      </w:pPr>
    </w:lvl>
    <w:lvl w:ilvl="6" w:tplc="0B4A8362" w:tentative="1">
      <w:start w:val="1"/>
      <w:numFmt w:val="decimal"/>
      <w:lvlText w:val="%7."/>
      <w:lvlJc w:val="left"/>
      <w:pPr>
        <w:tabs>
          <w:tab w:val="num" w:pos="4680"/>
        </w:tabs>
        <w:ind w:left="4680" w:hanging="360"/>
      </w:pPr>
    </w:lvl>
    <w:lvl w:ilvl="7" w:tplc="E78EDFB2" w:tentative="1">
      <w:start w:val="1"/>
      <w:numFmt w:val="decimal"/>
      <w:lvlText w:val="%8."/>
      <w:lvlJc w:val="left"/>
      <w:pPr>
        <w:tabs>
          <w:tab w:val="num" w:pos="5400"/>
        </w:tabs>
        <w:ind w:left="5400" w:hanging="360"/>
      </w:pPr>
    </w:lvl>
    <w:lvl w:ilvl="8" w:tplc="324E57BC" w:tentative="1">
      <w:start w:val="1"/>
      <w:numFmt w:val="decimal"/>
      <w:lvlText w:val="%9."/>
      <w:lvlJc w:val="left"/>
      <w:pPr>
        <w:tabs>
          <w:tab w:val="num" w:pos="6120"/>
        </w:tabs>
        <w:ind w:left="6120" w:hanging="360"/>
      </w:pPr>
    </w:lvl>
  </w:abstractNum>
  <w:abstractNum w:abstractNumId="12">
    <w:nsid w:val="3F352650"/>
    <w:multiLevelType w:val="hybridMultilevel"/>
    <w:tmpl w:val="2472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8393A"/>
    <w:multiLevelType w:val="hybridMultilevel"/>
    <w:tmpl w:val="9998D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5B51A7"/>
    <w:multiLevelType w:val="hybridMultilevel"/>
    <w:tmpl w:val="718E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7C15F9"/>
    <w:multiLevelType w:val="hybridMultilevel"/>
    <w:tmpl w:val="94AE4396"/>
    <w:lvl w:ilvl="0" w:tplc="26AC15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17510A"/>
    <w:multiLevelType w:val="hybridMultilevel"/>
    <w:tmpl w:val="D598B004"/>
    <w:lvl w:ilvl="0" w:tplc="FF84F8D0">
      <w:numFmt w:val="bullet"/>
      <w:lvlText w:val="-"/>
      <w:lvlJc w:val="left"/>
      <w:pPr>
        <w:ind w:left="720" w:hanging="360"/>
      </w:pPr>
      <w:rPr>
        <w:rFonts w:ascii="Interstate Regular" w:eastAsiaTheme="minorHAnsi" w:hAnsi="Interstate Regular"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0A73E7A"/>
    <w:multiLevelType w:val="hybridMultilevel"/>
    <w:tmpl w:val="040209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7D0E55"/>
    <w:multiLevelType w:val="hybridMultilevel"/>
    <w:tmpl w:val="18CCA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122DDD"/>
    <w:multiLevelType w:val="hybridMultilevel"/>
    <w:tmpl w:val="063468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5D51DE"/>
    <w:multiLevelType w:val="hybridMultilevel"/>
    <w:tmpl w:val="DFE88C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6AAE58AB"/>
    <w:multiLevelType w:val="hybridMultilevel"/>
    <w:tmpl w:val="A0AC67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0C6FBE"/>
    <w:multiLevelType w:val="hybridMultilevel"/>
    <w:tmpl w:val="A3A8DF4C"/>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23">
    <w:nsid w:val="72347409"/>
    <w:multiLevelType w:val="hybridMultilevel"/>
    <w:tmpl w:val="A23AFF9C"/>
    <w:lvl w:ilvl="0" w:tplc="27A44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1218E"/>
    <w:multiLevelType w:val="hybridMultilevel"/>
    <w:tmpl w:val="47EC817A"/>
    <w:lvl w:ilvl="0" w:tplc="13A63AA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FC5570"/>
    <w:multiLevelType w:val="hybridMultilevel"/>
    <w:tmpl w:val="CC5EE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6A7F6F"/>
    <w:multiLevelType w:val="hybridMultilevel"/>
    <w:tmpl w:val="323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125DA"/>
    <w:multiLevelType w:val="hybridMultilevel"/>
    <w:tmpl w:val="902EA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7"/>
  </w:num>
  <w:num w:numId="3">
    <w:abstractNumId w:val="14"/>
  </w:num>
  <w:num w:numId="4">
    <w:abstractNumId w:val="10"/>
  </w:num>
  <w:num w:numId="5">
    <w:abstractNumId w:val="0"/>
  </w:num>
  <w:num w:numId="6">
    <w:abstractNumId w:val="15"/>
  </w:num>
  <w:num w:numId="7">
    <w:abstractNumId w:val="7"/>
  </w:num>
  <w:num w:numId="8">
    <w:abstractNumId w:val="11"/>
  </w:num>
  <w:num w:numId="9">
    <w:abstractNumId w:val="24"/>
  </w:num>
  <w:num w:numId="10">
    <w:abstractNumId w:val="23"/>
  </w:num>
  <w:num w:numId="11">
    <w:abstractNumId w:val="8"/>
  </w:num>
  <w:num w:numId="12">
    <w:abstractNumId w:val="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22"/>
  </w:num>
  <w:num w:numId="17">
    <w:abstractNumId w:val="5"/>
  </w:num>
  <w:num w:numId="18">
    <w:abstractNumId w:val="19"/>
  </w:num>
  <w:num w:numId="19">
    <w:abstractNumId w:val="12"/>
  </w:num>
  <w:num w:numId="20">
    <w:abstractNumId w:val="18"/>
  </w:num>
  <w:num w:numId="21">
    <w:abstractNumId w:val="2"/>
  </w:num>
  <w:num w:numId="22">
    <w:abstractNumId w:val="3"/>
  </w:num>
  <w:num w:numId="23">
    <w:abstractNumId w:val="4"/>
  </w:num>
  <w:num w:numId="24">
    <w:abstractNumId w:val="25"/>
  </w:num>
  <w:num w:numId="25">
    <w:abstractNumId w:val="17"/>
  </w:num>
  <w:num w:numId="26">
    <w:abstractNumId w:val="26"/>
  </w:num>
  <w:num w:numId="27">
    <w:abstractNumId w:val="21"/>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12"/>
    <w:rsid w:val="0000176A"/>
    <w:rsid w:val="000067EE"/>
    <w:rsid w:val="00006F03"/>
    <w:rsid w:val="00010B34"/>
    <w:rsid w:val="0001116B"/>
    <w:rsid w:val="000112A6"/>
    <w:rsid w:val="00011300"/>
    <w:rsid w:val="0001271C"/>
    <w:rsid w:val="00014221"/>
    <w:rsid w:val="00015550"/>
    <w:rsid w:val="000156F4"/>
    <w:rsid w:val="00017F33"/>
    <w:rsid w:val="00021735"/>
    <w:rsid w:val="000237F4"/>
    <w:rsid w:val="00024021"/>
    <w:rsid w:val="000258FE"/>
    <w:rsid w:val="00025CE5"/>
    <w:rsid w:val="00025FA9"/>
    <w:rsid w:val="00026B06"/>
    <w:rsid w:val="00027749"/>
    <w:rsid w:val="00031D4D"/>
    <w:rsid w:val="00032398"/>
    <w:rsid w:val="000328DA"/>
    <w:rsid w:val="00033156"/>
    <w:rsid w:val="00033FA6"/>
    <w:rsid w:val="00035A5D"/>
    <w:rsid w:val="00036568"/>
    <w:rsid w:val="00040141"/>
    <w:rsid w:val="0004038F"/>
    <w:rsid w:val="00040A48"/>
    <w:rsid w:val="0004194A"/>
    <w:rsid w:val="00043220"/>
    <w:rsid w:val="00043C73"/>
    <w:rsid w:val="00044591"/>
    <w:rsid w:val="000460FB"/>
    <w:rsid w:val="000463CA"/>
    <w:rsid w:val="000516DE"/>
    <w:rsid w:val="000523BF"/>
    <w:rsid w:val="000524DB"/>
    <w:rsid w:val="00052580"/>
    <w:rsid w:val="000539DD"/>
    <w:rsid w:val="00054630"/>
    <w:rsid w:val="00055B62"/>
    <w:rsid w:val="00057FE1"/>
    <w:rsid w:val="00060A22"/>
    <w:rsid w:val="00061902"/>
    <w:rsid w:val="0006368A"/>
    <w:rsid w:val="00065CC4"/>
    <w:rsid w:val="0006659E"/>
    <w:rsid w:val="000671BD"/>
    <w:rsid w:val="0007141A"/>
    <w:rsid w:val="00071EEC"/>
    <w:rsid w:val="00072239"/>
    <w:rsid w:val="00073164"/>
    <w:rsid w:val="000754F4"/>
    <w:rsid w:val="000825BE"/>
    <w:rsid w:val="00083936"/>
    <w:rsid w:val="00083B87"/>
    <w:rsid w:val="00086BF9"/>
    <w:rsid w:val="0008721F"/>
    <w:rsid w:val="00087CC4"/>
    <w:rsid w:val="0009008A"/>
    <w:rsid w:val="00090B1E"/>
    <w:rsid w:val="00091187"/>
    <w:rsid w:val="0009215A"/>
    <w:rsid w:val="00092214"/>
    <w:rsid w:val="00093C76"/>
    <w:rsid w:val="000A0E6B"/>
    <w:rsid w:val="000A2BC4"/>
    <w:rsid w:val="000A2F8B"/>
    <w:rsid w:val="000A5E76"/>
    <w:rsid w:val="000A7A05"/>
    <w:rsid w:val="000B16EC"/>
    <w:rsid w:val="000B4C26"/>
    <w:rsid w:val="000B6D0A"/>
    <w:rsid w:val="000C01A8"/>
    <w:rsid w:val="000C05A2"/>
    <w:rsid w:val="000C0ECF"/>
    <w:rsid w:val="000C1C97"/>
    <w:rsid w:val="000C2086"/>
    <w:rsid w:val="000C44A1"/>
    <w:rsid w:val="000C7E63"/>
    <w:rsid w:val="000D2CF9"/>
    <w:rsid w:val="000D2DF4"/>
    <w:rsid w:val="000D3A8E"/>
    <w:rsid w:val="000D580B"/>
    <w:rsid w:val="000D72FD"/>
    <w:rsid w:val="000D77EC"/>
    <w:rsid w:val="000D7F3E"/>
    <w:rsid w:val="000E0444"/>
    <w:rsid w:val="000E164B"/>
    <w:rsid w:val="000E1742"/>
    <w:rsid w:val="000E1BF2"/>
    <w:rsid w:val="000E30FB"/>
    <w:rsid w:val="000E50EA"/>
    <w:rsid w:val="000E7061"/>
    <w:rsid w:val="000E7DB5"/>
    <w:rsid w:val="000E7F2A"/>
    <w:rsid w:val="000F12DC"/>
    <w:rsid w:val="000F3220"/>
    <w:rsid w:val="000F4179"/>
    <w:rsid w:val="000F44FE"/>
    <w:rsid w:val="000F5F11"/>
    <w:rsid w:val="000F6DFD"/>
    <w:rsid w:val="000F723E"/>
    <w:rsid w:val="000F76B3"/>
    <w:rsid w:val="000F7E21"/>
    <w:rsid w:val="00102699"/>
    <w:rsid w:val="00103CF4"/>
    <w:rsid w:val="001040E4"/>
    <w:rsid w:val="00104AAC"/>
    <w:rsid w:val="00104ACE"/>
    <w:rsid w:val="001066F4"/>
    <w:rsid w:val="00110E41"/>
    <w:rsid w:val="00117811"/>
    <w:rsid w:val="001178D7"/>
    <w:rsid w:val="00117D22"/>
    <w:rsid w:val="0012168D"/>
    <w:rsid w:val="00123B93"/>
    <w:rsid w:val="00130699"/>
    <w:rsid w:val="00134303"/>
    <w:rsid w:val="0013607A"/>
    <w:rsid w:val="00136195"/>
    <w:rsid w:val="0014128F"/>
    <w:rsid w:val="00146827"/>
    <w:rsid w:val="00150EFA"/>
    <w:rsid w:val="001534E0"/>
    <w:rsid w:val="001555E1"/>
    <w:rsid w:val="00156EFA"/>
    <w:rsid w:val="00160434"/>
    <w:rsid w:val="00161FDD"/>
    <w:rsid w:val="00162DF8"/>
    <w:rsid w:val="001635B0"/>
    <w:rsid w:val="00164041"/>
    <w:rsid w:val="00167948"/>
    <w:rsid w:val="001768CD"/>
    <w:rsid w:val="00176F4F"/>
    <w:rsid w:val="001771C2"/>
    <w:rsid w:val="0018045F"/>
    <w:rsid w:val="001806F5"/>
    <w:rsid w:val="001814A5"/>
    <w:rsid w:val="00182400"/>
    <w:rsid w:val="00183E19"/>
    <w:rsid w:val="00185BD8"/>
    <w:rsid w:val="00190537"/>
    <w:rsid w:val="001908E7"/>
    <w:rsid w:val="0019176C"/>
    <w:rsid w:val="00191CAA"/>
    <w:rsid w:val="00191D9B"/>
    <w:rsid w:val="00191E7F"/>
    <w:rsid w:val="00194706"/>
    <w:rsid w:val="001948C8"/>
    <w:rsid w:val="001958E3"/>
    <w:rsid w:val="00195A3A"/>
    <w:rsid w:val="001B09DB"/>
    <w:rsid w:val="001B2FC8"/>
    <w:rsid w:val="001B3ABA"/>
    <w:rsid w:val="001B3E7E"/>
    <w:rsid w:val="001B4163"/>
    <w:rsid w:val="001B477D"/>
    <w:rsid w:val="001B6DEE"/>
    <w:rsid w:val="001C3C06"/>
    <w:rsid w:val="001D042C"/>
    <w:rsid w:val="001D30E3"/>
    <w:rsid w:val="001D3596"/>
    <w:rsid w:val="001E09F1"/>
    <w:rsid w:val="001E101D"/>
    <w:rsid w:val="001E163C"/>
    <w:rsid w:val="001E1E3C"/>
    <w:rsid w:val="001E2C5E"/>
    <w:rsid w:val="001E5CE2"/>
    <w:rsid w:val="001E64F8"/>
    <w:rsid w:val="001E7930"/>
    <w:rsid w:val="001F1EA5"/>
    <w:rsid w:val="001F3C55"/>
    <w:rsid w:val="001F3E48"/>
    <w:rsid w:val="00201EFC"/>
    <w:rsid w:val="00204D86"/>
    <w:rsid w:val="00206093"/>
    <w:rsid w:val="00207C6B"/>
    <w:rsid w:val="00207FBE"/>
    <w:rsid w:val="0021133E"/>
    <w:rsid w:val="00211D67"/>
    <w:rsid w:val="0021472E"/>
    <w:rsid w:val="002153D6"/>
    <w:rsid w:val="002154F8"/>
    <w:rsid w:val="00217FBB"/>
    <w:rsid w:val="00220E69"/>
    <w:rsid w:val="00222462"/>
    <w:rsid w:val="0023254A"/>
    <w:rsid w:val="002332ED"/>
    <w:rsid w:val="0023523B"/>
    <w:rsid w:val="00236073"/>
    <w:rsid w:val="00236FDD"/>
    <w:rsid w:val="00245F6E"/>
    <w:rsid w:val="002467B9"/>
    <w:rsid w:val="002479CA"/>
    <w:rsid w:val="002503DF"/>
    <w:rsid w:val="00251E2A"/>
    <w:rsid w:val="0025618C"/>
    <w:rsid w:val="00256AD9"/>
    <w:rsid w:val="00257068"/>
    <w:rsid w:val="00257761"/>
    <w:rsid w:val="0026279B"/>
    <w:rsid w:val="00262B1A"/>
    <w:rsid w:val="00264C0F"/>
    <w:rsid w:val="00265DE2"/>
    <w:rsid w:val="002677BC"/>
    <w:rsid w:val="0026789C"/>
    <w:rsid w:val="002719F8"/>
    <w:rsid w:val="00271BDC"/>
    <w:rsid w:val="00271DD7"/>
    <w:rsid w:val="00272275"/>
    <w:rsid w:val="00272BE4"/>
    <w:rsid w:val="00273EFD"/>
    <w:rsid w:val="00275983"/>
    <w:rsid w:val="00277E6C"/>
    <w:rsid w:val="002811CF"/>
    <w:rsid w:val="0028150A"/>
    <w:rsid w:val="00284920"/>
    <w:rsid w:val="00284AD5"/>
    <w:rsid w:val="00286954"/>
    <w:rsid w:val="00291D96"/>
    <w:rsid w:val="0029294B"/>
    <w:rsid w:val="00293DD5"/>
    <w:rsid w:val="00294497"/>
    <w:rsid w:val="00295783"/>
    <w:rsid w:val="00296885"/>
    <w:rsid w:val="002A0743"/>
    <w:rsid w:val="002A0F02"/>
    <w:rsid w:val="002A16FA"/>
    <w:rsid w:val="002A1D4D"/>
    <w:rsid w:val="002A2484"/>
    <w:rsid w:val="002A2B6D"/>
    <w:rsid w:val="002A40A0"/>
    <w:rsid w:val="002A58DA"/>
    <w:rsid w:val="002A635E"/>
    <w:rsid w:val="002A7759"/>
    <w:rsid w:val="002B4A06"/>
    <w:rsid w:val="002B5E0A"/>
    <w:rsid w:val="002B5F2E"/>
    <w:rsid w:val="002C01C4"/>
    <w:rsid w:val="002C0202"/>
    <w:rsid w:val="002C1BD1"/>
    <w:rsid w:val="002C26E1"/>
    <w:rsid w:val="002C40C4"/>
    <w:rsid w:val="002C46B8"/>
    <w:rsid w:val="002C5970"/>
    <w:rsid w:val="002C5DC2"/>
    <w:rsid w:val="002C5E85"/>
    <w:rsid w:val="002D1761"/>
    <w:rsid w:val="002D2689"/>
    <w:rsid w:val="002D3004"/>
    <w:rsid w:val="002D3CD9"/>
    <w:rsid w:val="002D4C7D"/>
    <w:rsid w:val="002D67F8"/>
    <w:rsid w:val="002D7495"/>
    <w:rsid w:val="002D7A31"/>
    <w:rsid w:val="002E0F21"/>
    <w:rsid w:val="002E15A8"/>
    <w:rsid w:val="002E336F"/>
    <w:rsid w:val="002E38E4"/>
    <w:rsid w:val="002E3A37"/>
    <w:rsid w:val="002E54A0"/>
    <w:rsid w:val="002E5865"/>
    <w:rsid w:val="002E62A8"/>
    <w:rsid w:val="002F0550"/>
    <w:rsid w:val="002F1256"/>
    <w:rsid w:val="002F48BE"/>
    <w:rsid w:val="002F5009"/>
    <w:rsid w:val="002F6C54"/>
    <w:rsid w:val="00300C1B"/>
    <w:rsid w:val="00300FB0"/>
    <w:rsid w:val="00302570"/>
    <w:rsid w:val="003047BE"/>
    <w:rsid w:val="00306ABF"/>
    <w:rsid w:val="00307CAE"/>
    <w:rsid w:val="0031055A"/>
    <w:rsid w:val="00311A96"/>
    <w:rsid w:val="00311C64"/>
    <w:rsid w:val="00313263"/>
    <w:rsid w:val="00313A4B"/>
    <w:rsid w:val="003149B4"/>
    <w:rsid w:val="00316A89"/>
    <w:rsid w:val="0032238E"/>
    <w:rsid w:val="00325B38"/>
    <w:rsid w:val="00326F80"/>
    <w:rsid w:val="0033043C"/>
    <w:rsid w:val="0033241F"/>
    <w:rsid w:val="00332F09"/>
    <w:rsid w:val="0033358F"/>
    <w:rsid w:val="00333D39"/>
    <w:rsid w:val="00335043"/>
    <w:rsid w:val="00335B1D"/>
    <w:rsid w:val="00337F66"/>
    <w:rsid w:val="00341BD3"/>
    <w:rsid w:val="00343322"/>
    <w:rsid w:val="00345A15"/>
    <w:rsid w:val="00345C5F"/>
    <w:rsid w:val="00345DCA"/>
    <w:rsid w:val="00346FC5"/>
    <w:rsid w:val="00347E4D"/>
    <w:rsid w:val="0035033F"/>
    <w:rsid w:val="003512E9"/>
    <w:rsid w:val="003528BD"/>
    <w:rsid w:val="003553C9"/>
    <w:rsid w:val="003566CA"/>
    <w:rsid w:val="00357135"/>
    <w:rsid w:val="003608DA"/>
    <w:rsid w:val="0036297F"/>
    <w:rsid w:val="003636BB"/>
    <w:rsid w:val="003636BD"/>
    <w:rsid w:val="00364240"/>
    <w:rsid w:val="00364AD5"/>
    <w:rsid w:val="0036611B"/>
    <w:rsid w:val="00366770"/>
    <w:rsid w:val="00366902"/>
    <w:rsid w:val="003708FE"/>
    <w:rsid w:val="00371278"/>
    <w:rsid w:val="00371DB3"/>
    <w:rsid w:val="00376A5E"/>
    <w:rsid w:val="00377911"/>
    <w:rsid w:val="003809B0"/>
    <w:rsid w:val="00381CBF"/>
    <w:rsid w:val="00381ED0"/>
    <w:rsid w:val="00382578"/>
    <w:rsid w:val="00382AA6"/>
    <w:rsid w:val="00383B4A"/>
    <w:rsid w:val="00384B23"/>
    <w:rsid w:val="003861D5"/>
    <w:rsid w:val="00386354"/>
    <w:rsid w:val="0038690E"/>
    <w:rsid w:val="00386937"/>
    <w:rsid w:val="00386EA7"/>
    <w:rsid w:val="00387FB1"/>
    <w:rsid w:val="003925C0"/>
    <w:rsid w:val="00392AD8"/>
    <w:rsid w:val="00394532"/>
    <w:rsid w:val="0039530E"/>
    <w:rsid w:val="003A0997"/>
    <w:rsid w:val="003A115D"/>
    <w:rsid w:val="003A3E02"/>
    <w:rsid w:val="003A4D7A"/>
    <w:rsid w:val="003A6D77"/>
    <w:rsid w:val="003B2B45"/>
    <w:rsid w:val="003B6A33"/>
    <w:rsid w:val="003B6D13"/>
    <w:rsid w:val="003C07BD"/>
    <w:rsid w:val="003C0E54"/>
    <w:rsid w:val="003C0F06"/>
    <w:rsid w:val="003C1AC3"/>
    <w:rsid w:val="003C3B57"/>
    <w:rsid w:val="003C4337"/>
    <w:rsid w:val="003C47E6"/>
    <w:rsid w:val="003C6EBE"/>
    <w:rsid w:val="003C6F3D"/>
    <w:rsid w:val="003C75DC"/>
    <w:rsid w:val="003D0913"/>
    <w:rsid w:val="003D21EB"/>
    <w:rsid w:val="003D2598"/>
    <w:rsid w:val="003D27BF"/>
    <w:rsid w:val="003D2F6B"/>
    <w:rsid w:val="003D3DB1"/>
    <w:rsid w:val="003D5921"/>
    <w:rsid w:val="003D7382"/>
    <w:rsid w:val="003E15D7"/>
    <w:rsid w:val="003E4237"/>
    <w:rsid w:val="003E44AB"/>
    <w:rsid w:val="003F06EF"/>
    <w:rsid w:val="003F0E7F"/>
    <w:rsid w:val="003F1B4F"/>
    <w:rsid w:val="003F1F12"/>
    <w:rsid w:val="003F5B1B"/>
    <w:rsid w:val="003F62D0"/>
    <w:rsid w:val="003F6ACD"/>
    <w:rsid w:val="003F6EA6"/>
    <w:rsid w:val="00400BC4"/>
    <w:rsid w:val="00403A06"/>
    <w:rsid w:val="00404D86"/>
    <w:rsid w:val="00410E9C"/>
    <w:rsid w:val="00411B71"/>
    <w:rsid w:val="00412278"/>
    <w:rsid w:val="00414103"/>
    <w:rsid w:val="00414FE1"/>
    <w:rsid w:val="0041587D"/>
    <w:rsid w:val="004160A1"/>
    <w:rsid w:val="00417EE2"/>
    <w:rsid w:val="00421EBF"/>
    <w:rsid w:val="0042227F"/>
    <w:rsid w:val="0042368B"/>
    <w:rsid w:val="00424098"/>
    <w:rsid w:val="00425E60"/>
    <w:rsid w:val="00426895"/>
    <w:rsid w:val="004269E5"/>
    <w:rsid w:val="00426A6C"/>
    <w:rsid w:val="0042755A"/>
    <w:rsid w:val="0042763D"/>
    <w:rsid w:val="00432C1E"/>
    <w:rsid w:val="004334DB"/>
    <w:rsid w:val="00433648"/>
    <w:rsid w:val="004336A9"/>
    <w:rsid w:val="00435BB1"/>
    <w:rsid w:val="0043615F"/>
    <w:rsid w:val="00436816"/>
    <w:rsid w:val="00436BBF"/>
    <w:rsid w:val="004378E7"/>
    <w:rsid w:val="00441EA5"/>
    <w:rsid w:val="00442DD3"/>
    <w:rsid w:val="00443B2E"/>
    <w:rsid w:val="004460F3"/>
    <w:rsid w:val="00446962"/>
    <w:rsid w:val="00455D2C"/>
    <w:rsid w:val="00457B2F"/>
    <w:rsid w:val="00460E03"/>
    <w:rsid w:val="004642E8"/>
    <w:rsid w:val="00465E24"/>
    <w:rsid w:val="00467CBC"/>
    <w:rsid w:val="00472347"/>
    <w:rsid w:val="0047701B"/>
    <w:rsid w:val="00481521"/>
    <w:rsid w:val="004825E6"/>
    <w:rsid w:val="004835E0"/>
    <w:rsid w:val="0048591A"/>
    <w:rsid w:val="004860E3"/>
    <w:rsid w:val="00487AD2"/>
    <w:rsid w:val="00487B15"/>
    <w:rsid w:val="00490BD0"/>
    <w:rsid w:val="004914BA"/>
    <w:rsid w:val="00491833"/>
    <w:rsid w:val="004A14DD"/>
    <w:rsid w:val="004A1B0F"/>
    <w:rsid w:val="004A26AD"/>
    <w:rsid w:val="004A3CBD"/>
    <w:rsid w:val="004A3E3D"/>
    <w:rsid w:val="004A4F14"/>
    <w:rsid w:val="004A4F6A"/>
    <w:rsid w:val="004A5B46"/>
    <w:rsid w:val="004B1786"/>
    <w:rsid w:val="004B22AD"/>
    <w:rsid w:val="004B2E85"/>
    <w:rsid w:val="004B30F0"/>
    <w:rsid w:val="004B37F4"/>
    <w:rsid w:val="004B4156"/>
    <w:rsid w:val="004B4C01"/>
    <w:rsid w:val="004B52D9"/>
    <w:rsid w:val="004C012E"/>
    <w:rsid w:val="004C1288"/>
    <w:rsid w:val="004C33FE"/>
    <w:rsid w:val="004C3BAE"/>
    <w:rsid w:val="004C5B87"/>
    <w:rsid w:val="004C6EC2"/>
    <w:rsid w:val="004D0FEF"/>
    <w:rsid w:val="004D244B"/>
    <w:rsid w:val="004D263D"/>
    <w:rsid w:val="004D2803"/>
    <w:rsid w:val="004D3D88"/>
    <w:rsid w:val="004D441D"/>
    <w:rsid w:val="004D692C"/>
    <w:rsid w:val="004D6E64"/>
    <w:rsid w:val="004D7711"/>
    <w:rsid w:val="004E0AB8"/>
    <w:rsid w:val="004E1110"/>
    <w:rsid w:val="004E25EC"/>
    <w:rsid w:val="004E2815"/>
    <w:rsid w:val="004E4F21"/>
    <w:rsid w:val="004E51D0"/>
    <w:rsid w:val="004E54CB"/>
    <w:rsid w:val="004E6871"/>
    <w:rsid w:val="004E7E13"/>
    <w:rsid w:val="004F00A9"/>
    <w:rsid w:val="004F18E0"/>
    <w:rsid w:val="004F1D9D"/>
    <w:rsid w:val="004F2B02"/>
    <w:rsid w:val="004F621E"/>
    <w:rsid w:val="004F6516"/>
    <w:rsid w:val="00500B7F"/>
    <w:rsid w:val="00503195"/>
    <w:rsid w:val="00503EA1"/>
    <w:rsid w:val="00505FD5"/>
    <w:rsid w:val="0051174F"/>
    <w:rsid w:val="005129CB"/>
    <w:rsid w:val="00512B44"/>
    <w:rsid w:val="00516277"/>
    <w:rsid w:val="00516395"/>
    <w:rsid w:val="00516F9A"/>
    <w:rsid w:val="00517CDA"/>
    <w:rsid w:val="00517DF3"/>
    <w:rsid w:val="005220EA"/>
    <w:rsid w:val="005224AD"/>
    <w:rsid w:val="00522DEB"/>
    <w:rsid w:val="00523847"/>
    <w:rsid w:val="00523E1D"/>
    <w:rsid w:val="00524F79"/>
    <w:rsid w:val="0052709C"/>
    <w:rsid w:val="00527250"/>
    <w:rsid w:val="00527873"/>
    <w:rsid w:val="005305ED"/>
    <w:rsid w:val="00530620"/>
    <w:rsid w:val="005308F5"/>
    <w:rsid w:val="00530A68"/>
    <w:rsid w:val="00530C4B"/>
    <w:rsid w:val="00531152"/>
    <w:rsid w:val="00531ACB"/>
    <w:rsid w:val="00533E2A"/>
    <w:rsid w:val="0053733B"/>
    <w:rsid w:val="00537B3F"/>
    <w:rsid w:val="00541918"/>
    <w:rsid w:val="00541D9A"/>
    <w:rsid w:val="0054256C"/>
    <w:rsid w:val="005446A0"/>
    <w:rsid w:val="005461F2"/>
    <w:rsid w:val="0054655F"/>
    <w:rsid w:val="00546B1E"/>
    <w:rsid w:val="00550B2B"/>
    <w:rsid w:val="005515C1"/>
    <w:rsid w:val="0055245C"/>
    <w:rsid w:val="005554F9"/>
    <w:rsid w:val="00555BD2"/>
    <w:rsid w:val="00555E59"/>
    <w:rsid w:val="00556B18"/>
    <w:rsid w:val="005607F2"/>
    <w:rsid w:val="00560CAA"/>
    <w:rsid w:val="0056120E"/>
    <w:rsid w:val="00563313"/>
    <w:rsid w:val="0057096E"/>
    <w:rsid w:val="00574413"/>
    <w:rsid w:val="0057568E"/>
    <w:rsid w:val="00575A30"/>
    <w:rsid w:val="00576A03"/>
    <w:rsid w:val="0058181F"/>
    <w:rsid w:val="005853FA"/>
    <w:rsid w:val="0058580C"/>
    <w:rsid w:val="00591959"/>
    <w:rsid w:val="00593482"/>
    <w:rsid w:val="005955BA"/>
    <w:rsid w:val="00595FC5"/>
    <w:rsid w:val="00597DDF"/>
    <w:rsid w:val="005A1670"/>
    <w:rsid w:val="005A2C0C"/>
    <w:rsid w:val="005A53E8"/>
    <w:rsid w:val="005A6B36"/>
    <w:rsid w:val="005B091E"/>
    <w:rsid w:val="005B2F21"/>
    <w:rsid w:val="005B44F0"/>
    <w:rsid w:val="005B4B7B"/>
    <w:rsid w:val="005B4F14"/>
    <w:rsid w:val="005B639E"/>
    <w:rsid w:val="005B6ADE"/>
    <w:rsid w:val="005B7CC0"/>
    <w:rsid w:val="005C0D4D"/>
    <w:rsid w:val="005C173B"/>
    <w:rsid w:val="005C3C99"/>
    <w:rsid w:val="005C3CFB"/>
    <w:rsid w:val="005C5071"/>
    <w:rsid w:val="005C7869"/>
    <w:rsid w:val="005D0963"/>
    <w:rsid w:val="005D0DF4"/>
    <w:rsid w:val="005D3D0B"/>
    <w:rsid w:val="005D4DF9"/>
    <w:rsid w:val="005D5EED"/>
    <w:rsid w:val="005D786A"/>
    <w:rsid w:val="005E03FB"/>
    <w:rsid w:val="005E23A3"/>
    <w:rsid w:val="005E274E"/>
    <w:rsid w:val="005E2DAD"/>
    <w:rsid w:val="005E3173"/>
    <w:rsid w:val="005E3EAD"/>
    <w:rsid w:val="005E4C7A"/>
    <w:rsid w:val="005E4DE3"/>
    <w:rsid w:val="005E4FAE"/>
    <w:rsid w:val="005E6890"/>
    <w:rsid w:val="005E6CAC"/>
    <w:rsid w:val="005F0FB8"/>
    <w:rsid w:val="005F178A"/>
    <w:rsid w:val="005F35D7"/>
    <w:rsid w:val="005F6EF2"/>
    <w:rsid w:val="00604563"/>
    <w:rsid w:val="00605715"/>
    <w:rsid w:val="00605A8D"/>
    <w:rsid w:val="00605CC7"/>
    <w:rsid w:val="006111E3"/>
    <w:rsid w:val="00611DF5"/>
    <w:rsid w:val="00612430"/>
    <w:rsid w:val="0061646F"/>
    <w:rsid w:val="0061754F"/>
    <w:rsid w:val="00617DB7"/>
    <w:rsid w:val="0062445A"/>
    <w:rsid w:val="00630CFE"/>
    <w:rsid w:val="00634AD3"/>
    <w:rsid w:val="00634DF5"/>
    <w:rsid w:val="006355A0"/>
    <w:rsid w:val="00636BDA"/>
    <w:rsid w:val="0063792D"/>
    <w:rsid w:val="00640DAB"/>
    <w:rsid w:val="00641636"/>
    <w:rsid w:val="006440A2"/>
    <w:rsid w:val="00646AC9"/>
    <w:rsid w:val="00652C73"/>
    <w:rsid w:val="0065706E"/>
    <w:rsid w:val="00660C96"/>
    <w:rsid w:val="00660E2E"/>
    <w:rsid w:val="00665F29"/>
    <w:rsid w:val="00667CC7"/>
    <w:rsid w:val="006704C9"/>
    <w:rsid w:val="00671D6F"/>
    <w:rsid w:val="00672100"/>
    <w:rsid w:val="006721B1"/>
    <w:rsid w:val="00672E92"/>
    <w:rsid w:val="00673B86"/>
    <w:rsid w:val="0067455B"/>
    <w:rsid w:val="006766E8"/>
    <w:rsid w:val="0067767E"/>
    <w:rsid w:val="006801E0"/>
    <w:rsid w:val="006834B5"/>
    <w:rsid w:val="00683F7E"/>
    <w:rsid w:val="00690277"/>
    <w:rsid w:val="00690A53"/>
    <w:rsid w:val="00690E12"/>
    <w:rsid w:val="006915A8"/>
    <w:rsid w:val="00691F98"/>
    <w:rsid w:val="0069287E"/>
    <w:rsid w:val="0069413B"/>
    <w:rsid w:val="0069719F"/>
    <w:rsid w:val="006972D4"/>
    <w:rsid w:val="00697880"/>
    <w:rsid w:val="006A0F72"/>
    <w:rsid w:val="006A50BE"/>
    <w:rsid w:val="006A5C51"/>
    <w:rsid w:val="006A6C57"/>
    <w:rsid w:val="006A6D94"/>
    <w:rsid w:val="006B0560"/>
    <w:rsid w:val="006B114A"/>
    <w:rsid w:val="006B2B46"/>
    <w:rsid w:val="006B4649"/>
    <w:rsid w:val="006B50DB"/>
    <w:rsid w:val="006B6AE2"/>
    <w:rsid w:val="006B6BF1"/>
    <w:rsid w:val="006C05CC"/>
    <w:rsid w:val="006C18DB"/>
    <w:rsid w:val="006C30E4"/>
    <w:rsid w:val="006C38C7"/>
    <w:rsid w:val="006C3BDD"/>
    <w:rsid w:val="006C4441"/>
    <w:rsid w:val="006C4905"/>
    <w:rsid w:val="006D0F8F"/>
    <w:rsid w:val="006D212E"/>
    <w:rsid w:val="006D320E"/>
    <w:rsid w:val="006D33F0"/>
    <w:rsid w:val="006D379E"/>
    <w:rsid w:val="006D49DA"/>
    <w:rsid w:val="006D5614"/>
    <w:rsid w:val="006D6FD3"/>
    <w:rsid w:val="006D77DF"/>
    <w:rsid w:val="006E0A50"/>
    <w:rsid w:val="006E0BED"/>
    <w:rsid w:val="006E120E"/>
    <w:rsid w:val="006E204C"/>
    <w:rsid w:val="006E229A"/>
    <w:rsid w:val="006E3F6C"/>
    <w:rsid w:val="006F237C"/>
    <w:rsid w:val="006F271A"/>
    <w:rsid w:val="006F513F"/>
    <w:rsid w:val="006F6041"/>
    <w:rsid w:val="007024BE"/>
    <w:rsid w:val="007074A8"/>
    <w:rsid w:val="00707BD4"/>
    <w:rsid w:val="007113F5"/>
    <w:rsid w:val="00712FF4"/>
    <w:rsid w:val="00721611"/>
    <w:rsid w:val="00722574"/>
    <w:rsid w:val="00722EE4"/>
    <w:rsid w:val="0072375E"/>
    <w:rsid w:val="00723A7D"/>
    <w:rsid w:val="007248CC"/>
    <w:rsid w:val="00731351"/>
    <w:rsid w:val="00732379"/>
    <w:rsid w:val="0073271F"/>
    <w:rsid w:val="00734042"/>
    <w:rsid w:val="00736551"/>
    <w:rsid w:val="0073726E"/>
    <w:rsid w:val="007408E7"/>
    <w:rsid w:val="00740C28"/>
    <w:rsid w:val="007415BF"/>
    <w:rsid w:val="00741FA2"/>
    <w:rsid w:val="0074465C"/>
    <w:rsid w:val="00745551"/>
    <w:rsid w:val="00752021"/>
    <w:rsid w:val="00753783"/>
    <w:rsid w:val="007572FA"/>
    <w:rsid w:val="00760A62"/>
    <w:rsid w:val="00760C84"/>
    <w:rsid w:val="0076100D"/>
    <w:rsid w:val="007612B6"/>
    <w:rsid w:val="00762648"/>
    <w:rsid w:val="007640B3"/>
    <w:rsid w:val="007676A4"/>
    <w:rsid w:val="0077253A"/>
    <w:rsid w:val="00772EC7"/>
    <w:rsid w:val="00774B2D"/>
    <w:rsid w:val="0077572F"/>
    <w:rsid w:val="00776F16"/>
    <w:rsid w:val="007776EB"/>
    <w:rsid w:val="00777CF0"/>
    <w:rsid w:val="00780132"/>
    <w:rsid w:val="007833EC"/>
    <w:rsid w:val="00783663"/>
    <w:rsid w:val="00785C85"/>
    <w:rsid w:val="00785EFF"/>
    <w:rsid w:val="007876C1"/>
    <w:rsid w:val="00793A7D"/>
    <w:rsid w:val="00794BA3"/>
    <w:rsid w:val="007975A7"/>
    <w:rsid w:val="007A003C"/>
    <w:rsid w:val="007A550B"/>
    <w:rsid w:val="007A5CF3"/>
    <w:rsid w:val="007A6294"/>
    <w:rsid w:val="007A6EB9"/>
    <w:rsid w:val="007B2A29"/>
    <w:rsid w:val="007B5358"/>
    <w:rsid w:val="007B5FB5"/>
    <w:rsid w:val="007B700F"/>
    <w:rsid w:val="007B71F6"/>
    <w:rsid w:val="007C181D"/>
    <w:rsid w:val="007C3C21"/>
    <w:rsid w:val="007C4EB3"/>
    <w:rsid w:val="007C50A2"/>
    <w:rsid w:val="007C52F2"/>
    <w:rsid w:val="007C6135"/>
    <w:rsid w:val="007C75D1"/>
    <w:rsid w:val="007D000D"/>
    <w:rsid w:val="007D33E9"/>
    <w:rsid w:val="007D3BE9"/>
    <w:rsid w:val="007D4B0A"/>
    <w:rsid w:val="007D6966"/>
    <w:rsid w:val="007D717C"/>
    <w:rsid w:val="007D71C4"/>
    <w:rsid w:val="007E35DF"/>
    <w:rsid w:val="007E4CFA"/>
    <w:rsid w:val="007E5BF5"/>
    <w:rsid w:val="007E5FEA"/>
    <w:rsid w:val="007E6CDA"/>
    <w:rsid w:val="007F1805"/>
    <w:rsid w:val="007F275E"/>
    <w:rsid w:val="007F2882"/>
    <w:rsid w:val="007F799F"/>
    <w:rsid w:val="007F7A4E"/>
    <w:rsid w:val="00802665"/>
    <w:rsid w:val="00802F23"/>
    <w:rsid w:val="008042ED"/>
    <w:rsid w:val="00805E69"/>
    <w:rsid w:val="0080755F"/>
    <w:rsid w:val="008112E0"/>
    <w:rsid w:val="00811CAA"/>
    <w:rsid w:val="00812080"/>
    <w:rsid w:val="00813616"/>
    <w:rsid w:val="008149D5"/>
    <w:rsid w:val="008155B2"/>
    <w:rsid w:val="0081700C"/>
    <w:rsid w:val="00821055"/>
    <w:rsid w:val="008213C7"/>
    <w:rsid w:val="0082285E"/>
    <w:rsid w:val="00822889"/>
    <w:rsid w:val="008231BA"/>
    <w:rsid w:val="00823F7C"/>
    <w:rsid w:val="00824918"/>
    <w:rsid w:val="00826D45"/>
    <w:rsid w:val="008274D6"/>
    <w:rsid w:val="008274EE"/>
    <w:rsid w:val="00831347"/>
    <w:rsid w:val="00833DB6"/>
    <w:rsid w:val="0083588D"/>
    <w:rsid w:val="00837C7C"/>
    <w:rsid w:val="00840AE4"/>
    <w:rsid w:val="00845D17"/>
    <w:rsid w:val="00850D62"/>
    <w:rsid w:val="008514E2"/>
    <w:rsid w:val="0085288D"/>
    <w:rsid w:val="0085579D"/>
    <w:rsid w:val="00855A83"/>
    <w:rsid w:val="00856133"/>
    <w:rsid w:val="0085615D"/>
    <w:rsid w:val="008565C8"/>
    <w:rsid w:val="00856A69"/>
    <w:rsid w:val="00856F32"/>
    <w:rsid w:val="0086101A"/>
    <w:rsid w:val="00866376"/>
    <w:rsid w:val="00867EE5"/>
    <w:rsid w:val="008702C3"/>
    <w:rsid w:val="0087194E"/>
    <w:rsid w:val="00873B4A"/>
    <w:rsid w:val="0087487C"/>
    <w:rsid w:val="0087502C"/>
    <w:rsid w:val="00875118"/>
    <w:rsid w:val="00875D82"/>
    <w:rsid w:val="00877058"/>
    <w:rsid w:val="00877144"/>
    <w:rsid w:val="00880388"/>
    <w:rsid w:val="00880CEA"/>
    <w:rsid w:val="008829EE"/>
    <w:rsid w:val="008834BA"/>
    <w:rsid w:val="0088486C"/>
    <w:rsid w:val="008854C7"/>
    <w:rsid w:val="00887CAC"/>
    <w:rsid w:val="008902C4"/>
    <w:rsid w:val="00890FF2"/>
    <w:rsid w:val="00894596"/>
    <w:rsid w:val="008A262F"/>
    <w:rsid w:val="008A2A04"/>
    <w:rsid w:val="008A4B6A"/>
    <w:rsid w:val="008B036F"/>
    <w:rsid w:val="008B3BCD"/>
    <w:rsid w:val="008B669E"/>
    <w:rsid w:val="008B6F6F"/>
    <w:rsid w:val="008B7C03"/>
    <w:rsid w:val="008C13B4"/>
    <w:rsid w:val="008C36FF"/>
    <w:rsid w:val="008C4C6B"/>
    <w:rsid w:val="008C5179"/>
    <w:rsid w:val="008C5592"/>
    <w:rsid w:val="008C61FE"/>
    <w:rsid w:val="008C6E5D"/>
    <w:rsid w:val="008C7D85"/>
    <w:rsid w:val="008D4012"/>
    <w:rsid w:val="008D45F4"/>
    <w:rsid w:val="008D5141"/>
    <w:rsid w:val="008D51FF"/>
    <w:rsid w:val="008D579D"/>
    <w:rsid w:val="008D5CF3"/>
    <w:rsid w:val="008D635A"/>
    <w:rsid w:val="008D63BA"/>
    <w:rsid w:val="008D6FCA"/>
    <w:rsid w:val="008E2405"/>
    <w:rsid w:val="008E5798"/>
    <w:rsid w:val="008E5A1C"/>
    <w:rsid w:val="008E5E77"/>
    <w:rsid w:val="008E628B"/>
    <w:rsid w:val="008F0805"/>
    <w:rsid w:val="008F09C2"/>
    <w:rsid w:val="008F0DC8"/>
    <w:rsid w:val="008F0E06"/>
    <w:rsid w:val="008F4914"/>
    <w:rsid w:val="00907DE2"/>
    <w:rsid w:val="0091025C"/>
    <w:rsid w:val="00910321"/>
    <w:rsid w:val="0091161A"/>
    <w:rsid w:val="009130FE"/>
    <w:rsid w:val="00913A3D"/>
    <w:rsid w:val="00914B81"/>
    <w:rsid w:val="00920E25"/>
    <w:rsid w:val="009246E3"/>
    <w:rsid w:val="00924D02"/>
    <w:rsid w:val="009316F8"/>
    <w:rsid w:val="00931C95"/>
    <w:rsid w:val="0093386F"/>
    <w:rsid w:val="00934A32"/>
    <w:rsid w:val="009361C4"/>
    <w:rsid w:val="0093628F"/>
    <w:rsid w:val="0093762C"/>
    <w:rsid w:val="0094136C"/>
    <w:rsid w:val="0094312C"/>
    <w:rsid w:val="00943ADA"/>
    <w:rsid w:val="00943EC5"/>
    <w:rsid w:val="00951962"/>
    <w:rsid w:val="00951AC3"/>
    <w:rsid w:val="009526AB"/>
    <w:rsid w:val="009536D0"/>
    <w:rsid w:val="00953EF0"/>
    <w:rsid w:val="00954516"/>
    <w:rsid w:val="009545E8"/>
    <w:rsid w:val="00955B44"/>
    <w:rsid w:val="00960E10"/>
    <w:rsid w:val="00961B5F"/>
    <w:rsid w:val="00971C2F"/>
    <w:rsid w:val="009725B2"/>
    <w:rsid w:val="00973EA4"/>
    <w:rsid w:val="00974284"/>
    <w:rsid w:val="009750B9"/>
    <w:rsid w:val="00976CC6"/>
    <w:rsid w:val="0098123B"/>
    <w:rsid w:val="00982662"/>
    <w:rsid w:val="00982B04"/>
    <w:rsid w:val="009838F3"/>
    <w:rsid w:val="009841EE"/>
    <w:rsid w:val="00992617"/>
    <w:rsid w:val="00992B34"/>
    <w:rsid w:val="00992B4A"/>
    <w:rsid w:val="00994304"/>
    <w:rsid w:val="00995C27"/>
    <w:rsid w:val="00995CEF"/>
    <w:rsid w:val="00996EAD"/>
    <w:rsid w:val="00997547"/>
    <w:rsid w:val="009A1C05"/>
    <w:rsid w:val="009A1FAE"/>
    <w:rsid w:val="009A213C"/>
    <w:rsid w:val="009A40F6"/>
    <w:rsid w:val="009A59EC"/>
    <w:rsid w:val="009A5CD4"/>
    <w:rsid w:val="009A65D2"/>
    <w:rsid w:val="009A7DF5"/>
    <w:rsid w:val="009B0230"/>
    <w:rsid w:val="009B1033"/>
    <w:rsid w:val="009B1CEC"/>
    <w:rsid w:val="009B3390"/>
    <w:rsid w:val="009B5C94"/>
    <w:rsid w:val="009B67A2"/>
    <w:rsid w:val="009C15E0"/>
    <w:rsid w:val="009C171B"/>
    <w:rsid w:val="009C5F3C"/>
    <w:rsid w:val="009C66EF"/>
    <w:rsid w:val="009C6A7F"/>
    <w:rsid w:val="009C6C89"/>
    <w:rsid w:val="009C6DC2"/>
    <w:rsid w:val="009C72D2"/>
    <w:rsid w:val="009C7E2D"/>
    <w:rsid w:val="009D0041"/>
    <w:rsid w:val="009D0E33"/>
    <w:rsid w:val="009D1FDF"/>
    <w:rsid w:val="009D2C3A"/>
    <w:rsid w:val="009D2D8E"/>
    <w:rsid w:val="009D4D80"/>
    <w:rsid w:val="009D5E2B"/>
    <w:rsid w:val="009D6182"/>
    <w:rsid w:val="009D6B86"/>
    <w:rsid w:val="009E121E"/>
    <w:rsid w:val="009E1EE1"/>
    <w:rsid w:val="009E5C31"/>
    <w:rsid w:val="009F07C7"/>
    <w:rsid w:val="009F15B8"/>
    <w:rsid w:val="009F186A"/>
    <w:rsid w:val="009F21EA"/>
    <w:rsid w:val="009F4CA3"/>
    <w:rsid w:val="00A00036"/>
    <w:rsid w:val="00A01846"/>
    <w:rsid w:val="00A01921"/>
    <w:rsid w:val="00A027D3"/>
    <w:rsid w:val="00A03852"/>
    <w:rsid w:val="00A040E9"/>
    <w:rsid w:val="00A043E0"/>
    <w:rsid w:val="00A05F48"/>
    <w:rsid w:val="00A1027E"/>
    <w:rsid w:val="00A11908"/>
    <w:rsid w:val="00A11D5D"/>
    <w:rsid w:val="00A11D9C"/>
    <w:rsid w:val="00A122E5"/>
    <w:rsid w:val="00A145CC"/>
    <w:rsid w:val="00A16E01"/>
    <w:rsid w:val="00A21229"/>
    <w:rsid w:val="00A22FF4"/>
    <w:rsid w:val="00A23199"/>
    <w:rsid w:val="00A244A7"/>
    <w:rsid w:val="00A249AE"/>
    <w:rsid w:val="00A25069"/>
    <w:rsid w:val="00A317DE"/>
    <w:rsid w:val="00A324F8"/>
    <w:rsid w:val="00A34B41"/>
    <w:rsid w:val="00A351BD"/>
    <w:rsid w:val="00A35E6B"/>
    <w:rsid w:val="00A4036A"/>
    <w:rsid w:val="00A4211F"/>
    <w:rsid w:val="00A4361A"/>
    <w:rsid w:val="00A45B27"/>
    <w:rsid w:val="00A56DD2"/>
    <w:rsid w:val="00A57AD0"/>
    <w:rsid w:val="00A57B32"/>
    <w:rsid w:val="00A57E34"/>
    <w:rsid w:val="00A603AA"/>
    <w:rsid w:val="00A641F3"/>
    <w:rsid w:val="00A643D9"/>
    <w:rsid w:val="00A64592"/>
    <w:rsid w:val="00A66AF7"/>
    <w:rsid w:val="00A67C0B"/>
    <w:rsid w:val="00A67FAD"/>
    <w:rsid w:val="00A71E9F"/>
    <w:rsid w:val="00A7498C"/>
    <w:rsid w:val="00A74E06"/>
    <w:rsid w:val="00A75025"/>
    <w:rsid w:val="00A76850"/>
    <w:rsid w:val="00A7770B"/>
    <w:rsid w:val="00A80121"/>
    <w:rsid w:val="00A804C7"/>
    <w:rsid w:val="00A818C0"/>
    <w:rsid w:val="00A8378C"/>
    <w:rsid w:val="00A844D1"/>
    <w:rsid w:val="00A84B58"/>
    <w:rsid w:val="00A869AB"/>
    <w:rsid w:val="00A872CA"/>
    <w:rsid w:val="00A87E72"/>
    <w:rsid w:val="00A90339"/>
    <w:rsid w:val="00A91463"/>
    <w:rsid w:val="00AA2F85"/>
    <w:rsid w:val="00AA36B6"/>
    <w:rsid w:val="00AA4C89"/>
    <w:rsid w:val="00AA5AFE"/>
    <w:rsid w:val="00AA5DE1"/>
    <w:rsid w:val="00AA7B81"/>
    <w:rsid w:val="00AB0BAB"/>
    <w:rsid w:val="00AB0C43"/>
    <w:rsid w:val="00AB1684"/>
    <w:rsid w:val="00AC2267"/>
    <w:rsid w:val="00AC235B"/>
    <w:rsid w:val="00AC4966"/>
    <w:rsid w:val="00AC5CE1"/>
    <w:rsid w:val="00AC77C6"/>
    <w:rsid w:val="00AC7DD8"/>
    <w:rsid w:val="00AD0D0C"/>
    <w:rsid w:val="00AD0DAE"/>
    <w:rsid w:val="00AD1C24"/>
    <w:rsid w:val="00AD1C90"/>
    <w:rsid w:val="00AD3346"/>
    <w:rsid w:val="00AD3B6C"/>
    <w:rsid w:val="00AD5F00"/>
    <w:rsid w:val="00AD6301"/>
    <w:rsid w:val="00AD65A5"/>
    <w:rsid w:val="00AE12C8"/>
    <w:rsid w:val="00AE1C41"/>
    <w:rsid w:val="00AE6059"/>
    <w:rsid w:val="00AE7B6C"/>
    <w:rsid w:val="00AE7BA3"/>
    <w:rsid w:val="00AF1892"/>
    <w:rsid w:val="00AF25A9"/>
    <w:rsid w:val="00AF439D"/>
    <w:rsid w:val="00AF5048"/>
    <w:rsid w:val="00B01D52"/>
    <w:rsid w:val="00B0319C"/>
    <w:rsid w:val="00B0335B"/>
    <w:rsid w:val="00B03456"/>
    <w:rsid w:val="00B07CDE"/>
    <w:rsid w:val="00B1158F"/>
    <w:rsid w:val="00B163E5"/>
    <w:rsid w:val="00B21489"/>
    <w:rsid w:val="00B21795"/>
    <w:rsid w:val="00B21AD0"/>
    <w:rsid w:val="00B24A7A"/>
    <w:rsid w:val="00B256F4"/>
    <w:rsid w:val="00B32A90"/>
    <w:rsid w:val="00B33434"/>
    <w:rsid w:val="00B343DF"/>
    <w:rsid w:val="00B3501E"/>
    <w:rsid w:val="00B36830"/>
    <w:rsid w:val="00B36E34"/>
    <w:rsid w:val="00B40518"/>
    <w:rsid w:val="00B42206"/>
    <w:rsid w:val="00B44381"/>
    <w:rsid w:val="00B4505D"/>
    <w:rsid w:val="00B45161"/>
    <w:rsid w:val="00B455AE"/>
    <w:rsid w:val="00B456F4"/>
    <w:rsid w:val="00B45E24"/>
    <w:rsid w:val="00B50422"/>
    <w:rsid w:val="00B50CF1"/>
    <w:rsid w:val="00B50F7E"/>
    <w:rsid w:val="00B52D11"/>
    <w:rsid w:val="00B53AB6"/>
    <w:rsid w:val="00B54595"/>
    <w:rsid w:val="00B64D02"/>
    <w:rsid w:val="00B654F6"/>
    <w:rsid w:val="00B667DB"/>
    <w:rsid w:val="00B72A89"/>
    <w:rsid w:val="00B741DD"/>
    <w:rsid w:val="00B765C9"/>
    <w:rsid w:val="00B76B3C"/>
    <w:rsid w:val="00B7749C"/>
    <w:rsid w:val="00B77FC1"/>
    <w:rsid w:val="00B8231F"/>
    <w:rsid w:val="00B82B8B"/>
    <w:rsid w:val="00B82B9B"/>
    <w:rsid w:val="00B8420C"/>
    <w:rsid w:val="00B850B5"/>
    <w:rsid w:val="00B85103"/>
    <w:rsid w:val="00B85689"/>
    <w:rsid w:val="00B85B4A"/>
    <w:rsid w:val="00B85FBB"/>
    <w:rsid w:val="00B8646C"/>
    <w:rsid w:val="00B86E92"/>
    <w:rsid w:val="00B913BE"/>
    <w:rsid w:val="00B94AC4"/>
    <w:rsid w:val="00B9554D"/>
    <w:rsid w:val="00B957D2"/>
    <w:rsid w:val="00B95ED1"/>
    <w:rsid w:val="00B96BF1"/>
    <w:rsid w:val="00B96E37"/>
    <w:rsid w:val="00BA642F"/>
    <w:rsid w:val="00BA6433"/>
    <w:rsid w:val="00BA6F79"/>
    <w:rsid w:val="00BA7698"/>
    <w:rsid w:val="00BB1EBD"/>
    <w:rsid w:val="00BB2083"/>
    <w:rsid w:val="00BB494B"/>
    <w:rsid w:val="00BC06B4"/>
    <w:rsid w:val="00BC0C1B"/>
    <w:rsid w:val="00BC224F"/>
    <w:rsid w:val="00BC3BAF"/>
    <w:rsid w:val="00BC448F"/>
    <w:rsid w:val="00BC5060"/>
    <w:rsid w:val="00BC5E29"/>
    <w:rsid w:val="00BC6CEC"/>
    <w:rsid w:val="00BD204A"/>
    <w:rsid w:val="00BD4912"/>
    <w:rsid w:val="00BD52A5"/>
    <w:rsid w:val="00BD673F"/>
    <w:rsid w:val="00BE1597"/>
    <w:rsid w:val="00BE6646"/>
    <w:rsid w:val="00BE7C0C"/>
    <w:rsid w:val="00BF2AD7"/>
    <w:rsid w:val="00BF2CD3"/>
    <w:rsid w:val="00BF4898"/>
    <w:rsid w:val="00BF4FE4"/>
    <w:rsid w:val="00BF73F0"/>
    <w:rsid w:val="00C001C7"/>
    <w:rsid w:val="00C01089"/>
    <w:rsid w:val="00C014C3"/>
    <w:rsid w:val="00C01B3B"/>
    <w:rsid w:val="00C03859"/>
    <w:rsid w:val="00C054E0"/>
    <w:rsid w:val="00C0676D"/>
    <w:rsid w:val="00C06B08"/>
    <w:rsid w:val="00C07992"/>
    <w:rsid w:val="00C07ABB"/>
    <w:rsid w:val="00C12B7D"/>
    <w:rsid w:val="00C12D4C"/>
    <w:rsid w:val="00C135D4"/>
    <w:rsid w:val="00C16699"/>
    <w:rsid w:val="00C17326"/>
    <w:rsid w:val="00C20AF5"/>
    <w:rsid w:val="00C21BAA"/>
    <w:rsid w:val="00C25B1E"/>
    <w:rsid w:val="00C26118"/>
    <w:rsid w:val="00C30A12"/>
    <w:rsid w:val="00C32F49"/>
    <w:rsid w:val="00C3477D"/>
    <w:rsid w:val="00C40A16"/>
    <w:rsid w:val="00C411D0"/>
    <w:rsid w:val="00C43809"/>
    <w:rsid w:val="00C45584"/>
    <w:rsid w:val="00C46372"/>
    <w:rsid w:val="00C5034F"/>
    <w:rsid w:val="00C5103F"/>
    <w:rsid w:val="00C51595"/>
    <w:rsid w:val="00C5505B"/>
    <w:rsid w:val="00C5725B"/>
    <w:rsid w:val="00C6061F"/>
    <w:rsid w:val="00C637FD"/>
    <w:rsid w:val="00C65BBC"/>
    <w:rsid w:val="00C715C5"/>
    <w:rsid w:val="00C71ED7"/>
    <w:rsid w:val="00C7285F"/>
    <w:rsid w:val="00C73C77"/>
    <w:rsid w:val="00C74636"/>
    <w:rsid w:val="00C746E3"/>
    <w:rsid w:val="00C74822"/>
    <w:rsid w:val="00C7486C"/>
    <w:rsid w:val="00C75F27"/>
    <w:rsid w:val="00C766FF"/>
    <w:rsid w:val="00C8137D"/>
    <w:rsid w:val="00C82D69"/>
    <w:rsid w:val="00C87A19"/>
    <w:rsid w:val="00C90537"/>
    <w:rsid w:val="00C9133F"/>
    <w:rsid w:val="00C92424"/>
    <w:rsid w:val="00C92581"/>
    <w:rsid w:val="00C92BD2"/>
    <w:rsid w:val="00C9330C"/>
    <w:rsid w:val="00CA184A"/>
    <w:rsid w:val="00CA2158"/>
    <w:rsid w:val="00CA64C2"/>
    <w:rsid w:val="00CA67F6"/>
    <w:rsid w:val="00CA69E8"/>
    <w:rsid w:val="00CB0866"/>
    <w:rsid w:val="00CB0DA4"/>
    <w:rsid w:val="00CB5030"/>
    <w:rsid w:val="00CB5720"/>
    <w:rsid w:val="00CB61DD"/>
    <w:rsid w:val="00CC04A9"/>
    <w:rsid w:val="00CC3B30"/>
    <w:rsid w:val="00CC4B99"/>
    <w:rsid w:val="00CC5891"/>
    <w:rsid w:val="00CC6827"/>
    <w:rsid w:val="00CD3EA2"/>
    <w:rsid w:val="00CD4AAA"/>
    <w:rsid w:val="00CD793B"/>
    <w:rsid w:val="00CE08E7"/>
    <w:rsid w:val="00CE0AD5"/>
    <w:rsid w:val="00CE106D"/>
    <w:rsid w:val="00CE2AC6"/>
    <w:rsid w:val="00CE35EE"/>
    <w:rsid w:val="00CE3E37"/>
    <w:rsid w:val="00CE3F1E"/>
    <w:rsid w:val="00CE5A6F"/>
    <w:rsid w:val="00CE5E76"/>
    <w:rsid w:val="00CE6BB1"/>
    <w:rsid w:val="00CF0614"/>
    <w:rsid w:val="00CF1D01"/>
    <w:rsid w:val="00CF29F1"/>
    <w:rsid w:val="00CF47C3"/>
    <w:rsid w:val="00CF506F"/>
    <w:rsid w:val="00CF5A35"/>
    <w:rsid w:val="00CF7D2E"/>
    <w:rsid w:val="00D024BA"/>
    <w:rsid w:val="00D03B74"/>
    <w:rsid w:val="00D03C4A"/>
    <w:rsid w:val="00D06E2D"/>
    <w:rsid w:val="00D137D8"/>
    <w:rsid w:val="00D14E23"/>
    <w:rsid w:val="00D16100"/>
    <w:rsid w:val="00D17B99"/>
    <w:rsid w:val="00D17DF7"/>
    <w:rsid w:val="00D21441"/>
    <w:rsid w:val="00D220F7"/>
    <w:rsid w:val="00D237AA"/>
    <w:rsid w:val="00D2463A"/>
    <w:rsid w:val="00D25264"/>
    <w:rsid w:val="00D270B7"/>
    <w:rsid w:val="00D2794C"/>
    <w:rsid w:val="00D30417"/>
    <w:rsid w:val="00D337D0"/>
    <w:rsid w:val="00D354BA"/>
    <w:rsid w:val="00D42190"/>
    <w:rsid w:val="00D4241D"/>
    <w:rsid w:val="00D437B4"/>
    <w:rsid w:val="00D44483"/>
    <w:rsid w:val="00D44802"/>
    <w:rsid w:val="00D47932"/>
    <w:rsid w:val="00D47C7E"/>
    <w:rsid w:val="00D5277E"/>
    <w:rsid w:val="00D537B7"/>
    <w:rsid w:val="00D567D0"/>
    <w:rsid w:val="00D60FC2"/>
    <w:rsid w:val="00D629C0"/>
    <w:rsid w:val="00D653ED"/>
    <w:rsid w:val="00D66079"/>
    <w:rsid w:val="00D67F7C"/>
    <w:rsid w:val="00D71624"/>
    <w:rsid w:val="00D71B5B"/>
    <w:rsid w:val="00D72231"/>
    <w:rsid w:val="00D72E7A"/>
    <w:rsid w:val="00D72FB5"/>
    <w:rsid w:val="00D738E0"/>
    <w:rsid w:val="00D771E6"/>
    <w:rsid w:val="00D8046C"/>
    <w:rsid w:val="00D80EAB"/>
    <w:rsid w:val="00D8213D"/>
    <w:rsid w:val="00D82FCA"/>
    <w:rsid w:val="00D83BAE"/>
    <w:rsid w:val="00D85239"/>
    <w:rsid w:val="00D85268"/>
    <w:rsid w:val="00D86933"/>
    <w:rsid w:val="00D877B7"/>
    <w:rsid w:val="00D87CFC"/>
    <w:rsid w:val="00D90075"/>
    <w:rsid w:val="00D92E32"/>
    <w:rsid w:val="00D93887"/>
    <w:rsid w:val="00D952B7"/>
    <w:rsid w:val="00D969C6"/>
    <w:rsid w:val="00D97526"/>
    <w:rsid w:val="00DA1CD4"/>
    <w:rsid w:val="00DA4AFC"/>
    <w:rsid w:val="00DA5D68"/>
    <w:rsid w:val="00DB0A7A"/>
    <w:rsid w:val="00DB25FC"/>
    <w:rsid w:val="00DB4498"/>
    <w:rsid w:val="00DB56B8"/>
    <w:rsid w:val="00DC2618"/>
    <w:rsid w:val="00DC5421"/>
    <w:rsid w:val="00DD195E"/>
    <w:rsid w:val="00DD20EE"/>
    <w:rsid w:val="00DD2EEA"/>
    <w:rsid w:val="00DD3D2F"/>
    <w:rsid w:val="00DD53F6"/>
    <w:rsid w:val="00DD593C"/>
    <w:rsid w:val="00DE05FA"/>
    <w:rsid w:val="00DE067F"/>
    <w:rsid w:val="00DE3A59"/>
    <w:rsid w:val="00DE4884"/>
    <w:rsid w:val="00DF1F94"/>
    <w:rsid w:val="00E006DB"/>
    <w:rsid w:val="00E01E4B"/>
    <w:rsid w:val="00E03889"/>
    <w:rsid w:val="00E06391"/>
    <w:rsid w:val="00E0755B"/>
    <w:rsid w:val="00E1157C"/>
    <w:rsid w:val="00E1167F"/>
    <w:rsid w:val="00E12A5A"/>
    <w:rsid w:val="00E13518"/>
    <w:rsid w:val="00E163FD"/>
    <w:rsid w:val="00E20BA4"/>
    <w:rsid w:val="00E2147C"/>
    <w:rsid w:val="00E21770"/>
    <w:rsid w:val="00E2225D"/>
    <w:rsid w:val="00E22D57"/>
    <w:rsid w:val="00E2466C"/>
    <w:rsid w:val="00E24B06"/>
    <w:rsid w:val="00E30CBB"/>
    <w:rsid w:val="00E3274D"/>
    <w:rsid w:val="00E33413"/>
    <w:rsid w:val="00E33DC3"/>
    <w:rsid w:val="00E35BC3"/>
    <w:rsid w:val="00E36200"/>
    <w:rsid w:val="00E420A4"/>
    <w:rsid w:val="00E44111"/>
    <w:rsid w:val="00E4526A"/>
    <w:rsid w:val="00E468E8"/>
    <w:rsid w:val="00E47E89"/>
    <w:rsid w:val="00E5023E"/>
    <w:rsid w:val="00E5070D"/>
    <w:rsid w:val="00E513FE"/>
    <w:rsid w:val="00E5169D"/>
    <w:rsid w:val="00E52614"/>
    <w:rsid w:val="00E52B22"/>
    <w:rsid w:val="00E540D6"/>
    <w:rsid w:val="00E5459E"/>
    <w:rsid w:val="00E547DB"/>
    <w:rsid w:val="00E60796"/>
    <w:rsid w:val="00E60FD6"/>
    <w:rsid w:val="00E633B2"/>
    <w:rsid w:val="00E65863"/>
    <w:rsid w:val="00E661DE"/>
    <w:rsid w:val="00E669AC"/>
    <w:rsid w:val="00E707D8"/>
    <w:rsid w:val="00E7155D"/>
    <w:rsid w:val="00E72FBF"/>
    <w:rsid w:val="00E73320"/>
    <w:rsid w:val="00E7403F"/>
    <w:rsid w:val="00E77729"/>
    <w:rsid w:val="00E800CD"/>
    <w:rsid w:val="00E80202"/>
    <w:rsid w:val="00E81CBB"/>
    <w:rsid w:val="00E81F1B"/>
    <w:rsid w:val="00E82FFC"/>
    <w:rsid w:val="00E86755"/>
    <w:rsid w:val="00E86C30"/>
    <w:rsid w:val="00E90082"/>
    <w:rsid w:val="00E907DE"/>
    <w:rsid w:val="00E90E86"/>
    <w:rsid w:val="00E92C41"/>
    <w:rsid w:val="00E93FDC"/>
    <w:rsid w:val="00E96653"/>
    <w:rsid w:val="00E96854"/>
    <w:rsid w:val="00E971B6"/>
    <w:rsid w:val="00E97321"/>
    <w:rsid w:val="00E97F20"/>
    <w:rsid w:val="00EA0CB4"/>
    <w:rsid w:val="00EA25E7"/>
    <w:rsid w:val="00EA2AE6"/>
    <w:rsid w:val="00EA307B"/>
    <w:rsid w:val="00EA4FA0"/>
    <w:rsid w:val="00EA637A"/>
    <w:rsid w:val="00EA7A50"/>
    <w:rsid w:val="00EB01E0"/>
    <w:rsid w:val="00EB16B8"/>
    <w:rsid w:val="00EB5A3B"/>
    <w:rsid w:val="00EB6B57"/>
    <w:rsid w:val="00EB6BCE"/>
    <w:rsid w:val="00EC03E1"/>
    <w:rsid w:val="00EC314F"/>
    <w:rsid w:val="00EC3BE9"/>
    <w:rsid w:val="00EC57C0"/>
    <w:rsid w:val="00EC7D5A"/>
    <w:rsid w:val="00ED1248"/>
    <w:rsid w:val="00ED1477"/>
    <w:rsid w:val="00ED195A"/>
    <w:rsid w:val="00ED256F"/>
    <w:rsid w:val="00ED71C2"/>
    <w:rsid w:val="00ED7A16"/>
    <w:rsid w:val="00EE2ABB"/>
    <w:rsid w:val="00EE381F"/>
    <w:rsid w:val="00EE5F9D"/>
    <w:rsid w:val="00EE6438"/>
    <w:rsid w:val="00EE6BCB"/>
    <w:rsid w:val="00EE6FEF"/>
    <w:rsid w:val="00EF144E"/>
    <w:rsid w:val="00EF1F65"/>
    <w:rsid w:val="00EF22EB"/>
    <w:rsid w:val="00EF2E19"/>
    <w:rsid w:val="00EF40AF"/>
    <w:rsid w:val="00EF541D"/>
    <w:rsid w:val="00EF740F"/>
    <w:rsid w:val="00F00994"/>
    <w:rsid w:val="00F016B8"/>
    <w:rsid w:val="00F03CD0"/>
    <w:rsid w:val="00F04520"/>
    <w:rsid w:val="00F0459C"/>
    <w:rsid w:val="00F05F5E"/>
    <w:rsid w:val="00F10BF2"/>
    <w:rsid w:val="00F1107C"/>
    <w:rsid w:val="00F114BF"/>
    <w:rsid w:val="00F14542"/>
    <w:rsid w:val="00F157A9"/>
    <w:rsid w:val="00F169AC"/>
    <w:rsid w:val="00F1780C"/>
    <w:rsid w:val="00F2056B"/>
    <w:rsid w:val="00F21BC2"/>
    <w:rsid w:val="00F23A72"/>
    <w:rsid w:val="00F248D2"/>
    <w:rsid w:val="00F24C8B"/>
    <w:rsid w:val="00F26807"/>
    <w:rsid w:val="00F26BAD"/>
    <w:rsid w:val="00F30AC0"/>
    <w:rsid w:val="00F313F1"/>
    <w:rsid w:val="00F336D3"/>
    <w:rsid w:val="00F33789"/>
    <w:rsid w:val="00F33B8C"/>
    <w:rsid w:val="00F35649"/>
    <w:rsid w:val="00F36150"/>
    <w:rsid w:val="00F37456"/>
    <w:rsid w:val="00F37D7B"/>
    <w:rsid w:val="00F42EA6"/>
    <w:rsid w:val="00F43D12"/>
    <w:rsid w:val="00F457F0"/>
    <w:rsid w:val="00F46AFA"/>
    <w:rsid w:val="00F46EC4"/>
    <w:rsid w:val="00F52DD0"/>
    <w:rsid w:val="00F53A64"/>
    <w:rsid w:val="00F546E1"/>
    <w:rsid w:val="00F5794D"/>
    <w:rsid w:val="00F60F85"/>
    <w:rsid w:val="00F70190"/>
    <w:rsid w:val="00F702DE"/>
    <w:rsid w:val="00F71A12"/>
    <w:rsid w:val="00F721E0"/>
    <w:rsid w:val="00F7608E"/>
    <w:rsid w:val="00F76C11"/>
    <w:rsid w:val="00F7759F"/>
    <w:rsid w:val="00F77A12"/>
    <w:rsid w:val="00F8019E"/>
    <w:rsid w:val="00F82926"/>
    <w:rsid w:val="00F82F26"/>
    <w:rsid w:val="00F83844"/>
    <w:rsid w:val="00F844A4"/>
    <w:rsid w:val="00F84B9B"/>
    <w:rsid w:val="00F861EB"/>
    <w:rsid w:val="00F8635C"/>
    <w:rsid w:val="00F87713"/>
    <w:rsid w:val="00F87FC5"/>
    <w:rsid w:val="00F90F3F"/>
    <w:rsid w:val="00F9354C"/>
    <w:rsid w:val="00F94E4D"/>
    <w:rsid w:val="00F97977"/>
    <w:rsid w:val="00FA1D6E"/>
    <w:rsid w:val="00FA43AF"/>
    <w:rsid w:val="00FA4537"/>
    <w:rsid w:val="00FA4A4C"/>
    <w:rsid w:val="00FA709A"/>
    <w:rsid w:val="00FA70E4"/>
    <w:rsid w:val="00FA71B8"/>
    <w:rsid w:val="00FB3048"/>
    <w:rsid w:val="00FB41FC"/>
    <w:rsid w:val="00FB4BC5"/>
    <w:rsid w:val="00FB6954"/>
    <w:rsid w:val="00FC01F8"/>
    <w:rsid w:val="00FC3E5F"/>
    <w:rsid w:val="00FC4645"/>
    <w:rsid w:val="00FC6EF6"/>
    <w:rsid w:val="00FD0A05"/>
    <w:rsid w:val="00FD1A3E"/>
    <w:rsid w:val="00FD306D"/>
    <w:rsid w:val="00FD3243"/>
    <w:rsid w:val="00FD3E70"/>
    <w:rsid w:val="00FD760B"/>
    <w:rsid w:val="00FD7F75"/>
    <w:rsid w:val="00FE1E51"/>
    <w:rsid w:val="00FE2F14"/>
    <w:rsid w:val="00FE44CE"/>
    <w:rsid w:val="00FE4AC3"/>
    <w:rsid w:val="00FE7BFE"/>
    <w:rsid w:val="00FF0FE1"/>
    <w:rsid w:val="00FF28E3"/>
    <w:rsid w:val="00FF3A4D"/>
    <w:rsid w:val="00FF51AD"/>
    <w:rsid w:val="00FF633E"/>
    <w:rsid w:val="00FF6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95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FA"/>
    <w:rPr>
      <w:rFonts w:ascii="Interstate Regular" w:hAnsi="Interstate Regular"/>
    </w:rPr>
  </w:style>
  <w:style w:type="paragraph" w:styleId="Heading1">
    <w:name w:val="heading 1"/>
    <w:basedOn w:val="Normal"/>
    <w:next w:val="Normal"/>
    <w:link w:val="Heading1Char"/>
    <w:uiPriority w:val="9"/>
    <w:qFormat/>
    <w:rsid w:val="002C0202"/>
    <w:pPr>
      <w:keepNext/>
      <w:keepLines/>
      <w:spacing w:before="240"/>
      <w:outlineLvl w:val="0"/>
    </w:pPr>
    <w:rPr>
      <w:rFonts w:ascii="Interstate Regular Cond" w:eastAsiaTheme="majorEastAsia" w:hAnsi="Interstate Regular Cond" w:cstheme="majorBidi"/>
      <w:b/>
      <w:bCs/>
      <w:sz w:val="36"/>
      <w:szCs w:val="28"/>
    </w:rPr>
  </w:style>
  <w:style w:type="paragraph" w:styleId="Heading2">
    <w:name w:val="heading 2"/>
    <w:basedOn w:val="Normal"/>
    <w:next w:val="Normal"/>
    <w:link w:val="Heading2Char"/>
    <w:uiPriority w:val="9"/>
    <w:unhideWhenUsed/>
    <w:qFormat/>
    <w:rsid w:val="00027749"/>
    <w:pPr>
      <w:keepNext/>
      <w:keepLines/>
      <w:spacing w:before="200" w:after="240"/>
      <w:jc w:val="righ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E2A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2E"/>
    <w:pPr>
      <w:ind w:left="720"/>
      <w:contextualSpacing/>
    </w:pPr>
  </w:style>
  <w:style w:type="character" w:customStyle="1" w:styleId="Heading2Char">
    <w:name w:val="Heading 2 Char"/>
    <w:basedOn w:val="DefaultParagraphFont"/>
    <w:link w:val="Heading2"/>
    <w:uiPriority w:val="9"/>
    <w:rsid w:val="00027749"/>
    <w:rPr>
      <w:rFonts w:ascii="Interstate Regular" w:eastAsiaTheme="majorEastAsia" w:hAnsi="Interstate Regular" w:cstheme="majorBidi"/>
      <w:b/>
      <w:bCs/>
      <w:sz w:val="28"/>
      <w:szCs w:val="26"/>
    </w:rPr>
  </w:style>
  <w:style w:type="character" w:customStyle="1" w:styleId="Heading1Char">
    <w:name w:val="Heading 1 Char"/>
    <w:basedOn w:val="DefaultParagraphFont"/>
    <w:link w:val="Heading1"/>
    <w:uiPriority w:val="9"/>
    <w:rsid w:val="002C0202"/>
    <w:rPr>
      <w:rFonts w:ascii="Interstate Regular Cond" w:eastAsiaTheme="majorEastAsia" w:hAnsi="Interstate Regular Cond" w:cstheme="majorBidi"/>
      <w:b/>
      <w:bCs/>
      <w:sz w:val="36"/>
      <w:szCs w:val="28"/>
    </w:rPr>
  </w:style>
  <w:style w:type="paragraph" w:styleId="NormalWeb">
    <w:name w:val="Normal (Web)"/>
    <w:basedOn w:val="Normal"/>
    <w:uiPriority w:val="99"/>
    <w:semiHidden/>
    <w:unhideWhenUsed/>
    <w:rsid w:val="005129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14"/>
    <w:rPr>
      <w:rFonts w:ascii="Tahoma" w:hAnsi="Tahoma" w:cs="Tahoma"/>
      <w:sz w:val="16"/>
      <w:szCs w:val="16"/>
    </w:rPr>
  </w:style>
  <w:style w:type="paragraph" w:styleId="Header">
    <w:name w:val="header"/>
    <w:basedOn w:val="Normal"/>
    <w:link w:val="HeaderChar"/>
    <w:uiPriority w:val="99"/>
    <w:unhideWhenUsed/>
    <w:rsid w:val="0009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08A"/>
  </w:style>
  <w:style w:type="paragraph" w:styleId="Footer">
    <w:name w:val="footer"/>
    <w:basedOn w:val="Normal"/>
    <w:link w:val="FooterChar"/>
    <w:uiPriority w:val="99"/>
    <w:unhideWhenUsed/>
    <w:rsid w:val="0009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08A"/>
  </w:style>
  <w:style w:type="character" w:styleId="Hyperlink">
    <w:name w:val="Hyperlink"/>
    <w:basedOn w:val="DefaultParagraphFont"/>
    <w:uiPriority w:val="99"/>
    <w:unhideWhenUsed/>
    <w:rsid w:val="003D0913"/>
    <w:rPr>
      <w:color w:val="0000FF" w:themeColor="hyperlink"/>
      <w:u w:val="single"/>
    </w:rPr>
  </w:style>
  <w:style w:type="paragraph" w:styleId="Caption">
    <w:name w:val="caption"/>
    <w:basedOn w:val="Normal"/>
    <w:next w:val="Normal"/>
    <w:uiPriority w:val="35"/>
    <w:unhideWhenUsed/>
    <w:qFormat/>
    <w:rsid w:val="00F114BF"/>
    <w:pPr>
      <w:spacing w:after="200" w:line="240" w:lineRule="auto"/>
    </w:pPr>
    <w:rPr>
      <w:b/>
      <w:bCs/>
      <w:color w:val="4F81BD" w:themeColor="accent1"/>
      <w:sz w:val="18"/>
      <w:szCs w:val="18"/>
    </w:rPr>
  </w:style>
  <w:style w:type="table" w:styleId="LightList-Accent1">
    <w:name w:val="Light List Accent 1"/>
    <w:basedOn w:val="TableNormal"/>
    <w:uiPriority w:val="61"/>
    <w:rsid w:val="006A6C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6B4649"/>
    <w:rPr>
      <w:sz w:val="16"/>
      <w:szCs w:val="16"/>
    </w:rPr>
  </w:style>
  <w:style w:type="paragraph" w:styleId="CommentText">
    <w:name w:val="annotation text"/>
    <w:basedOn w:val="Normal"/>
    <w:link w:val="CommentTextChar"/>
    <w:uiPriority w:val="99"/>
    <w:semiHidden/>
    <w:unhideWhenUsed/>
    <w:rsid w:val="006B4649"/>
    <w:pPr>
      <w:spacing w:line="240" w:lineRule="auto"/>
    </w:pPr>
    <w:rPr>
      <w:sz w:val="20"/>
      <w:szCs w:val="20"/>
    </w:rPr>
  </w:style>
  <w:style w:type="character" w:customStyle="1" w:styleId="CommentTextChar">
    <w:name w:val="Comment Text Char"/>
    <w:basedOn w:val="DefaultParagraphFont"/>
    <w:link w:val="CommentText"/>
    <w:uiPriority w:val="99"/>
    <w:semiHidden/>
    <w:rsid w:val="006B4649"/>
    <w:rPr>
      <w:sz w:val="20"/>
      <w:szCs w:val="20"/>
    </w:rPr>
  </w:style>
  <w:style w:type="paragraph" w:styleId="CommentSubject">
    <w:name w:val="annotation subject"/>
    <w:basedOn w:val="CommentText"/>
    <w:next w:val="CommentText"/>
    <w:link w:val="CommentSubjectChar"/>
    <w:uiPriority w:val="99"/>
    <w:semiHidden/>
    <w:unhideWhenUsed/>
    <w:rsid w:val="006B4649"/>
    <w:rPr>
      <w:b/>
      <w:bCs/>
    </w:rPr>
  </w:style>
  <w:style w:type="character" w:customStyle="1" w:styleId="CommentSubjectChar">
    <w:name w:val="Comment Subject Char"/>
    <w:basedOn w:val="CommentTextChar"/>
    <w:link w:val="CommentSubject"/>
    <w:uiPriority w:val="99"/>
    <w:semiHidden/>
    <w:rsid w:val="006B4649"/>
    <w:rPr>
      <w:b/>
      <w:bCs/>
      <w:sz w:val="20"/>
      <w:szCs w:val="20"/>
    </w:rPr>
  </w:style>
  <w:style w:type="paragraph" w:styleId="Revision">
    <w:name w:val="Revision"/>
    <w:hidden/>
    <w:uiPriority w:val="99"/>
    <w:semiHidden/>
    <w:rsid w:val="005C0D4D"/>
    <w:pPr>
      <w:spacing w:after="0" w:line="240" w:lineRule="auto"/>
    </w:pPr>
  </w:style>
  <w:style w:type="character" w:customStyle="1" w:styleId="Heading3Char">
    <w:name w:val="Heading 3 Char"/>
    <w:basedOn w:val="DefaultParagraphFont"/>
    <w:link w:val="Heading3"/>
    <w:uiPriority w:val="9"/>
    <w:rsid w:val="00CE2AC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3C4337"/>
    <w:pPr>
      <w:spacing w:line="259" w:lineRule="auto"/>
      <w:outlineLvl w:val="9"/>
    </w:pPr>
    <w:rPr>
      <w:b w:val="0"/>
      <w:bCs w:val="0"/>
      <w:sz w:val="32"/>
      <w:szCs w:val="32"/>
    </w:rPr>
  </w:style>
  <w:style w:type="paragraph" w:styleId="TOC1">
    <w:name w:val="toc 1"/>
    <w:basedOn w:val="Normal"/>
    <w:next w:val="Normal"/>
    <w:autoRedefine/>
    <w:uiPriority w:val="39"/>
    <w:unhideWhenUsed/>
    <w:rsid w:val="003C4337"/>
    <w:pPr>
      <w:spacing w:after="100"/>
    </w:pPr>
  </w:style>
  <w:style w:type="paragraph" w:styleId="TOC3">
    <w:name w:val="toc 3"/>
    <w:basedOn w:val="Normal"/>
    <w:next w:val="Normal"/>
    <w:autoRedefine/>
    <w:uiPriority w:val="39"/>
    <w:unhideWhenUsed/>
    <w:rsid w:val="003C4337"/>
    <w:pPr>
      <w:spacing w:after="100"/>
      <w:ind w:left="440"/>
    </w:pPr>
  </w:style>
  <w:style w:type="paragraph" w:styleId="TOC2">
    <w:name w:val="toc 2"/>
    <w:basedOn w:val="Normal"/>
    <w:next w:val="Normal"/>
    <w:autoRedefine/>
    <w:uiPriority w:val="39"/>
    <w:unhideWhenUsed/>
    <w:rsid w:val="003C4337"/>
    <w:pPr>
      <w:spacing w:after="100"/>
      <w:ind w:left="220"/>
    </w:pPr>
  </w:style>
  <w:style w:type="character" w:customStyle="1" w:styleId="A7">
    <w:name w:val="A7"/>
    <w:uiPriority w:val="99"/>
    <w:rsid w:val="006D320E"/>
    <w:rPr>
      <w:color w:val="221E1F"/>
      <w:sz w:val="20"/>
      <w:szCs w:val="20"/>
    </w:rPr>
  </w:style>
  <w:style w:type="paragraph" w:customStyle="1" w:styleId="Pa3">
    <w:name w:val="Pa3"/>
    <w:basedOn w:val="Normal"/>
    <w:next w:val="Normal"/>
    <w:uiPriority w:val="99"/>
    <w:rsid w:val="006D320E"/>
    <w:pPr>
      <w:autoSpaceDE w:val="0"/>
      <w:autoSpaceDN w:val="0"/>
      <w:adjustRightInd w:val="0"/>
      <w:spacing w:after="0" w:line="241" w:lineRule="atLeast"/>
    </w:pPr>
    <w:rPr>
      <w:rFonts w:ascii="Arial" w:hAnsi="Arial" w:cs="Arial"/>
      <w:sz w:val="24"/>
      <w:szCs w:val="24"/>
      <w:lang w:val="en-IN"/>
    </w:rPr>
  </w:style>
  <w:style w:type="paragraph" w:customStyle="1" w:styleId="Default">
    <w:name w:val="Default"/>
    <w:rsid w:val="008274D6"/>
    <w:pPr>
      <w:autoSpaceDE w:val="0"/>
      <w:autoSpaceDN w:val="0"/>
      <w:adjustRightInd w:val="0"/>
      <w:spacing w:after="0" w:line="240" w:lineRule="auto"/>
    </w:pPr>
    <w:rPr>
      <w:rFonts w:ascii="Interstate Light" w:hAnsi="Interstate Light" w:cs="Interstate Light"/>
      <w:color w:val="000000"/>
      <w:sz w:val="24"/>
      <w:szCs w:val="24"/>
    </w:rPr>
  </w:style>
  <w:style w:type="paragraph" w:customStyle="1" w:styleId="Pa6">
    <w:name w:val="Pa6"/>
    <w:basedOn w:val="Default"/>
    <w:next w:val="Default"/>
    <w:uiPriority w:val="99"/>
    <w:rsid w:val="008274D6"/>
    <w:pPr>
      <w:spacing w:line="241" w:lineRule="atLeast"/>
    </w:pPr>
    <w:rPr>
      <w:rFonts w:cstheme="minorBidi"/>
      <w:color w:val="auto"/>
    </w:rPr>
  </w:style>
  <w:style w:type="character" w:customStyle="1" w:styleId="A4">
    <w:name w:val="A4"/>
    <w:uiPriority w:val="99"/>
    <w:rsid w:val="008274D6"/>
    <w:rPr>
      <w:rFonts w:cs="Interstate Light"/>
      <w:color w:val="221E1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FA"/>
    <w:rPr>
      <w:rFonts w:ascii="Interstate Regular" w:hAnsi="Interstate Regular"/>
    </w:rPr>
  </w:style>
  <w:style w:type="paragraph" w:styleId="Heading1">
    <w:name w:val="heading 1"/>
    <w:basedOn w:val="Normal"/>
    <w:next w:val="Normal"/>
    <w:link w:val="Heading1Char"/>
    <w:uiPriority w:val="9"/>
    <w:qFormat/>
    <w:rsid w:val="002C0202"/>
    <w:pPr>
      <w:keepNext/>
      <w:keepLines/>
      <w:spacing w:before="240"/>
      <w:outlineLvl w:val="0"/>
    </w:pPr>
    <w:rPr>
      <w:rFonts w:ascii="Interstate Regular Cond" w:eastAsiaTheme="majorEastAsia" w:hAnsi="Interstate Regular Cond" w:cstheme="majorBidi"/>
      <w:b/>
      <w:bCs/>
      <w:sz w:val="36"/>
      <w:szCs w:val="28"/>
    </w:rPr>
  </w:style>
  <w:style w:type="paragraph" w:styleId="Heading2">
    <w:name w:val="heading 2"/>
    <w:basedOn w:val="Normal"/>
    <w:next w:val="Normal"/>
    <w:link w:val="Heading2Char"/>
    <w:uiPriority w:val="9"/>
    <w:unhideWhenUsed/>
    <w:qFormat/>
    <w:rsid w:val="00027749"/>
    <w:pPr>
      <w:keepNext/>
      <w:keepLines/>
      <w:spacing w:before="200" w:after="240"/>
      <w:jc w:val="righ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E2A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2E"/>
    <w:pPr>
      <w:ind w:left="720"/>
      <w:contextualSpacing/>
    </w:pPr>
  </w:style>
  <w:style w:type="character" w:customStyle="1" w:styleId="Heading2Char">
    <w:name w:val="Heading 2 Char"/>
    <w:basedOn w:val="DefaultParagraphFont"/>
    <w:link w:val="Heading2"/>
    <w:uiPriority w:val="9"/>
    <w:rsid w:val="00027749"/>
    <w:rPr>
      <w:rFonts w:ascii="Interstate Regular" w:eastAsiaTheme="majorEastAsia" w:hAnsi="Interstate Regular" w:cstheme="majorBidi"/>
      <w:b/>
      <w:bCs/>
      <w:sz w:val="28"/>
      <w:szCs w:val="26"/>
    </w:rPr>
  </w:style>
  <w:style w:type="character" w:customStyle="1" w:styleId="Heading1Char">
    <w:name w:val="Heading 1 Char"/>
    <w:basedOn w:val="DefaultParagraphFont"/>
    <w:link w:val="Heading1"/>
    <w:uiPriority w:val="9"/>
    <w:rsid w:val="002C0202"/>
    <w:rPr>
      <w:rFonts w:ascii="Interstate Regular Cond" w:eastAsiaTheme="majorEastAsia" w:hAnsi="Interstate Regular Cond" w:cstheme="majorBidi"/>
      <w:b/>
      <w:bCs/>
      <w:sz w:val="36"/>
      <w:szCs w:val="28"/>
    </w:rPr>
  </w:style>
  <w:style w:type="paragraph" w:styleId="NormalWeb">
    <w:name w:val="Normal (Web)"/>
    <w:basedOn w:val="Normal"/>
    <w:uiPriority w:val="99"/>
    <w:semiHidden/>
    <w:unhideWhenUsed/>
    <w:rsid w:val="005129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14"/>
    <w:rPr>
      <w:rFonts w:ascii="Tahoma" w:hAnsi="Tahoma" w:cs="Tahoma"/>
      <w:sz w:val="16"/>
      <w:szCs w:val="16"/>
    </w:rPr>
  </w:style>
  <w:style w:type="paragraph" w:styleId="Header">
    <w:name w:val="header"/>
    <w:basedOn w:val="Normal"/>
    <w:link w:val="HeaderChar"/>
    <w:uiPriority w:val="99"/>
    <w:unhideWhenUsed/>
    <w:rsid w:val="0009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08A"/>
  </w:style>
  <w:style w:type="paragraph" w:styleId="Footer">
    <w:name w:val="footer"/>
    <w:basedOn w:val="Normal"/>
    <w:link w:val="FooterChar"/>
    <w:uiPriority w:val="99"/>
    <w:unhideWhenUsed/>
    <w:rsid w:val="0009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08A"/>
  </w:style>
  <w:style w:type="character" w:styleId="Hyperlink">
    <w:name w:val="Hyperlink"/>
    <w:basedOn w:val="DefaultParagraphFont"/>
    <w:uiPriority w:val="99"/>
    <w:unhideWhenUsed/>
    <w:rsid w:val="003D0913"/>
    <w:rPr>
      <w:color w:val="0000FF" w:themeColor="hyperlink"/>
      <w:u w:val="single"/>
    </w:rPr>
  </w:style>
  <w:style w:type="paragraph" w:styleId="Caption">
    <w:name w:val="caption"/>
    <w:basedOn w:val="Normal"/>
    <w:next w:val="Normal"/>
    <w:uiPriority w:val="35"/>
    <w:unhideWhenUsed/>
    <w:qFormat/>
    <w:rsid w:val="00F114BF"/>
    <w:pPr>
      <w:spacing w:after="200" w:line="240" w:lineRule="auto"/>
    </w:pPr>
    <w:rPr>
      <w:b/>
      <w:bCs/>
      <w:color w:val="4F81BD" w:themeColor="accent1"/>
      <w:sz w:val="18"/>
      <w:szCs w:val="18"/>
    </w:rPr>
  </w:style>
  <w:style w:type="table" w:styleId="LightList-Accent1">
    <w:name w:val="Light List Accent 1"/>
    <w:basedOn w:val="TableNormal"/>
    <w:uiPriority w:val="61"/>
    <w:rsid w:val="006A6C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6B4649"/>
    <w:rPr>
      <w:sz w:val="16"/>
      <w:szCs w:val="16"/>
    </w:rPr>
  </w:style>
  <w:style w:type="paragraph" w:styleId="CommentText">
    <w:name w:val="annotation text"/>
    <w:basedOn w:val="Normal"/>
    <w:link w:val="CommentTextChar"/>
    <w:uiPriority w:val="99"/>
    <w:semiHidden/>
    <w:unhideWhenUsed/>
    <w:rsid w:val="006B4649"/>
    <w:pPr>
      <w:spacing w:line="240" w:lineRule="auto"/>
    </w:pPr>
    <w:rPr>
      <w:sz w:val="20"/>
      <w:szCs w:val="20"/>
    </w:rPr>
  </w:style>
  <w:style w:type="character" w:customStyle="1" w:styleId="CommentTextChar">
    <w:name w:val="Comment Text Char"/>
    <w:basedOn w:val="DefaultParagraphFont"/>
    <w:link w:val="CommentText"/>
    <w:uiPriority w:val="99"/>
    <w:semiHidden/>
    <w:rsid w:val="006B4649"/>
    <w:rPr>
      <w:sz w:val="20"/>
      <w:szCs w:val="20"/>
    </w:rPr>
  </w:style>
  <w:style w:type="paragraph" w:styleId="CommentSubject">
    <w:name w:val="annotation subject"/>
    <w:basedOn w:val="CommentText"/>
    <w:next w:val="CommentText"/>
    <w:link w:val="CommentSubjectChar"/>
    <w:uiPriority w:val="99"/>
    <w:semiHidden/>
    <w:unhideWhenUsed/>
    <w:rsid w:val="006B4649"/>
    <w:rPr>
      <w:b/>
      <w:bCs/>
    </w:rPr>
  </w:style>
  <w:style w:type="character" w:customStyle="1" w:styleId="CommentSubjectChar">
    <w:name w:val="Comment Subject Char"/>
    <w:basedOn w:val="CommentTextChar"/>
    <w:link w:val="CommentSubject"/>
    <w:uiPriority w:val="99"/>
    <w:semiHidden/>
    <w:rsid w:val="006B4649"/>
    <w:rPr>
      <w:b/>
      <w:bCs/>
      <w:sz w:val="20"/>
      <w:szCs w:val="20"/>
    </w:rPr>
  </w:style>
  <w:style w:type="paragraph" w:styleId="Revision">
    <w:name w:val="Revision"/>
    <w:hidden/>
    <w:uiPriority w:val="99"/>
    <w:semiHidden/>
    <w:rsid w:val="005C0D4D"/>
    <w:pPr>
      <w:spacing w:after="0" w:line="240" w:lineRule="auto"/>
    </w:pPr>
  </w:style>
  <w:style w:type="character" w:customStyle="1" w:styleId="Heading3Char">
    <w:name w:val="Heading 3 Char"/>
    <w:basedOn w:val="DefaultParagraphFont"/>
    <w:link w:val="Heading3"/>
    <w:uiPriority w:val="9"/>
    <w:rsid w:val="00CE2AC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3C4337"/>
    <w:pPr>
      <w:spacing w:line="259" w:lineRule="auto"/>
      <w:outlineLvl w:val="9"/>
    </w:pPr>
    <w:rPr>
      <w:b w:val="0"/>
      <w:bCs w:val="0"/>
      <w:sz w:val="32"/>
      <w:szCs w:val="32"/>
    </w:rPr>
  </w:style>
  <w:style w:type="paragraph" w:styleId="TOC1">
    <w:name w:val="toc 1"/>
    <w:basedOn w:val="Normal"/>
    <w:next w:val="Normal"/>
    <w:autoRedefine/>
    <w:uiPriority w:val="39"/>
    <w:unhideWhenUsed/>
    <w:rsid w:val="003C4337"/>
    <w:pPr>
      <w:spacing w:after="100"/>
    </w:pPr>
  </w:style>
  <w:style w:type="paragraph" w:styleId="TOC3">
    <w:name w:val="toc 3"/>
    <w:basedOn w:val="Normal"/>
    <w:next w:val="Normal"/>
    <w:autoRedefine/>
    <w:uiPriority w:val="39"/>
    <w:unhideWhenUsed/>
    <w:rsid w:val="003C4337"/>
    <w:pPr>
      <w:spacing w:after="100"/>
      <w:ind w:left="440"/>
    </w:pPr>
  </w:style>
  <w:style w:type="paragraph" w:styleId="TOC2">
    <w:name w:val="toc 2"/>
    <w:basedOn w:val="Normal"/>
    <w:next w:val="Normal"/>
    <w:autoRedefine/>
    <w:uiPriority w:val="39"/>
    <w:unhideWhenUsed/>
    <w:rsid w:val="003C4337"/>
    <w:pPr>
      <w:spacing w:after="100"/>
      <w:ind w:left="220"/>
    </w:pPr>
  </w:style>
  <w:style w:type="character" w:customStyle="1" w:styleId="A7">
    <w:name w:val="A7"/>
    <w:uiPriority w:val="99"/>
    <w:rsid w:val="006D320E"/>
    <w:rPr>
      <w:color w:val="221E1F"/>
      <w:sz w:val="20"/>
      <w:szCs w:val="20"/>
    </w:rPr>
  </w:style>
  <w:style w:type="paragraph" w:customStyle="1" w:styleId="Pa3">
    <w:name w:val="Pa3"/>
    <w:basedOn w:val="Normal"/>
    <w:next w:val="Normal"/>
    <w:uiPriority w:val="99"/>
    <w:rsid w:val="006D320E"/>
    <w:pPr>
      <w:autoSpaceDE w:val="0"/>
      <w:autoSpaceDN w:val="0"/>
      <w:adjustRightInd w:val="0"/>
      <w:spacing w:after="0" w:line="241" w:lineRule="atLeast"/>
    </w:pPr>
    <w:rPr>
      <w:rFonts w:ascii="Arial" w:hAnsi="Arial" w:cs="Arial"/>
      <w:sz w:val="24"/>
      <w:szCs w:val="24"/>
      <w:lang w:val="en-IN"/>
    </w:rPr>
  </w:style>
  <w:style w:type="paragraph" w:customStyle="1" w:styleId="Default">
    <w:name w:val="Default"/>
    <w:rsid w:val="008274D6"/>
    <w:pPr>
      <w:autoSpaceDE w:val="0"/>
      <w:autoSpaceDN w:val="0"/>
      <w:adjustRightInd w:val="0"/>
      <w:spacing w:after="0" w:line="240" w:lineRule="auto"/>
    </w:pPr>
    <w:rPr>
      <w:rFonts w:ascii="Interstate Light" w:hAnsi="Interstate Light" w:cs="Interstate Light"/>
      <w:color w:val="000000"/>
      <w:sz w:val="24"/>
      <w:szCs w:val="24"/>
    </w:rPr>
  </w:style>
  <w:style w:type="paragraph" w:customStyle="1" w:styleId="Pa6">
    <w:name w:val="Pa6"/>
    <w:basedOn w:val="Default"/>
    <w:next w:val="Default"/>
    <w:uiPriority w:val="99"/>
    <w:rsid w:val="008274D6"/>
    <w:pPr>
      <w:spacing w:line="241" w:lineRule="atLeast"/>
    </w:pPr>
    <w:rPr>
      <w:rFonts w:cstheme="minorBidi"/>
      <w:color w:val="auto"/>
    </w:rPr>
  </w:style>
  <w:style w:type="character" w:customStyle="1" w:styleId="A4">
    <w:name w:val="A4"/>
    <w:uiPriority w:val="99"/>
    <w:rsid w:val="008274D6"/>
    <w:rPr>
      <w:rFonts w:cs="Interstate Light"/>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445">
      <w:bodyDiv w:val="1"/>
      <w:marLeft w:val="0"/>
      <w:marRight w:val="0"/>
      <w:marTop w:val="0"/>
      <w:marBottom w:val="0"/>
      <w:divBdr>
        <w:top w:val="none" w:sz="0" w:space="0" w:color="auto"/>
        <w:left w:val="none" w:sz="0" w:space="0" w:color="auto"/>
        <w:bottom w:val="none" w:sz="0" w:space="0" w:color="auto"/>
        <w:right w:val="none" w:sz="0" w:space="0" w:color="auto"/>
      </w:divBdr>
    </w:div>
    <w:div w:id="245309174">
      <w:bodyDiv w:val="1"/>
      <w:marLeft w:val="0"/>
      <w:marRight w:val="0"/>
      <w:marTop w:val="0"/>
      <w:marBottom w:val="0"/>
      <w:divBdr>
        <w:top w:val="none" w:sz="0" w:space="0" w:color="auto"/>
        <w:left w:val="none" w:sz="0" w:space="0" w:color="auto"/>
        <w:bottom w:val="none" w:sz="0" w:space="0" w:color="auto"/>
        <w:right w:val="none" w:sz="0" w:space="0" w:color="auto"/>
      </w:divBdr>
    </w:div>
    <w:div w:id="249000392">
      <w:bodyDiv w:val="1"/>
      <w:marLeft w:val="0"/>
      <w:marRight w:val="0"/>
      <w:marTop w:val="0"/>
      <w:marBottom w:val="0"/>
      <w:divBdr>
        <w:top w:val="none" w:sz="0" w:space="0" w:color="auto"/>
        <w:left w:val="none" w:sz="0" w:space="0" w:color="auto"/>
        <w:bottom w:val="none" w:sz="0" w:space="0" w:color="auto"/>
        <w:right w:val="none" w:sz="0" w:space="0" w:color="auto"/>
      </w:divBdr>
    </w:div>
    <w:div w:id="367604500">
      <w:bodyDiv w:val="1"/>
      <w:marLeft w:val="0"/>
      <w:marRight w:val="0"/>
      <w:marTop w:val="0"/>
      <w:marBottom w:val="0"/>
      <w:divBdr>
        <w:top w:val="none" w:sz="0" w:space="0" w:color="auto"/>
        <w:left w:val="none" w:sz="0" w:space="0" w:color="auto"/>
        <w:bottom w:val="none" w:sz="0" w:space="0" w:color="auto"/>
        <w:right w:val="none" w:sz="0" w:space="0" w:color="auto"/>
      </w:divBdr>
    </w:div>
    <w:div w:id="375130677">
      <w:bodyDiv w:val="1"/>
      <w:marLeft w:val="0"/>
      <w:marRight w:val="0"/>
      <w:marTop w:val="0"/>
      <w:marBottom w:val="0"/>
      <w:divBdr>
        <w:top w:val="none" w:sz="0" w:space="0" w:color="auto"/>
        <w:left w:val="none" w:sz="0" w:space="0" w:color="auto"/>
        <w:bottom w:val="none" w:sz="0" w:space="0" w:color="auto"/>
        <w:right w:val="none" w:sz="0" w:space="0" w:color="auto"/>
      </w:divBdr>
    </w:div>
    <w:div w:id="460153838">
      <w:bodyDiv w:val="1"/>
      <w:marLeft w:val="0"/>
      <w:marRight w:val="0"/>
      <w:marTop w:val="0"/>
      <w:marBottom w:val="0"/>
      <w:divBdr>
        <w:top w:val="none" w:sz="0" w:space="0" w:color="auto"/>
        <w:left w:val="none" w:sz="0" w:space="0" w:color="auto"/>
        <w:bottom w:val="none" w:sz="0" w:space="0" w:color="auto"/>
        <w:right w:val="none" w:sz="0" w:space="0" w:color="auto"/>
      </w:divBdr>
    </w:div>
    <w:div w:id="461190864">
      <w:bodyDiv w:val="1"/>
      <w:marLeft w:val="0"/>
      <w:marRight w:val="0"/>
      <w:marTop w:val="0"/>
      <w:marBottom w:val="0"/>
      <w:divBdr>
        <w:top w:val="none" w:sz="0" w:space="0" w:color="auto"/>
        <w:left w:val="none" w:sz="0" w:space="0" w:color="auto"/>
        <w:bottom w:val="none" w:sz="0" w:space="0" w:color="auto"/>
        <w:right w:val="none" w:sz="0" w:space="0" w:color="auto"/>
      </w:divBdr>
    </w:div>
    <w:div w:id="501046345">
      <w:bodyDiv w:val="1"/>
      <w:marLeft w:val="0"/>
      <w:marRight w:val="0"/>
      <w:marTop w:val="0"/>
      <w:marBottom w:val="0"/>
      <w:divBdr>
        <w:top w:val="none" w:sz="0" w:space="0" w:color="auto"/>
        <w:left w:val="none" w:sz="0" w:space="0" w:color="auto"/>
        <w:bottom w:val="none" w:sz="0" w:space="0" w:color="auto"/>
        <w:right w:val="none" w:sz="0" w:space="0" w:color="auto"/>
      </w:divBdr>
    </w:div>
    <w:div w:id="513691345">
      <w:bodyDiv w:val="1"/>
      <w:marLeft w:val="0"/>
      <w:marRight w:val="0"/>
      <w:marTop w:val="0"/>
      <w:marBottom w:val="0"/>
      <w:divBdr>
        <w:top w:val="none" w:sz="0" w:space="0" w:color="auto"/>
        <w:left w:val="none" w:sz="0" w:space="0" w:color="auto"/>
        <w:bottom w:val="none" w:sz="0" w:space="0" w:color="auto"/>
        <w:right w:val="none" w:sz="0" w:space="0" w:color="auto"/>
      </w:divBdr>
    </w:div>
    <w:div w:id="533739611">
      <w:bodyDiv w:val="1"/>
      <w:marLeft w:val="0"/>
      <w:marRight w:val="0"/>
      <w:marTop w:val="0"/>
      <w:marBottom w:val="0"/>
      <w:divBdr>
        <w:top w:val="none" w:sz="0" w:space="0" w:color="auto"/>
        <w:left w:val="none" w:sz="0" w:space="0" w:color="auto"/>
        <w:bottom w:val="none" w:sz="0" w:space="0" w:color="auto"/>
        <w:right w:val="none" w:sz="0" w:space="0" w:color="auto"/>
      </w:divBdr>
    </w:div>
    <w:div w:id="539824282">
      <w:bodyDiv w:val="1"/>
      <w:marLeft w:val="0"/>
      <w:marRight w:val="0"/>
      <w:marTop w:val="0"/>
      <w:marBottom w:val="0"/>
      <w:divBdr>
        <w:top w:val="none" w:sz="0" w:space="0" w:color="auto"/>
        <w:left w:val="none" w:sz="0" w:space="0" w:color="auto"/>
        <w:bottom w:val="none" w:sz="0" w:space="0" w:color="auto"/>
        <w:right w:val="none" w:sz="0" w:space="0" w:color="auto"/>
      </w:divBdr>
    </w:div>
    <w:div w:id="595332450">
      <w:bodyDiv w:val="1"/>
      <w:marLeft w:val="0"/>
      <w:marRight w:val="0"/>
      <w:marTop w:val="0"/>
      <w:marBottom w:val="0"/>
      <w:divBdr>
        <w:top w:val="none" w:sz="0" w:space="0" w:color="auto"/>
        <w:left w:val="none" w:sz="0" w:space="0" w:color="auto"/>
        <w:bottom w:val="none" w:sz="0" w:space="0" w:color="auto"/>
        <w:right w:val="none" w:sz="0" w:space="0" w:color="auto"/>
      </w:divBdr>
    </w:div>
    <w:div w:id="609778292">
      <w:bodyDiv w:val="1"/>
      <w:marLeft w:val="0"/>
      <w:marRight w:val="0"/>
      <w:marTop w:val="0"/>
      <w:marBottom w:val="0"/>
      <w:divBdr>
        <w:top w:val="none" w:sz="0" w:space="0" w:color="auto"/>
        <w:left w:val="none" w:sz="0" w:space="0" w:color="auto"/>
        <w:bottom w:val="none" w:sz="0" w:space="0" w:color="auto"/>
        <w:right w:val="none" w:sz="0" w:space="0" w:color="auto"/>
      </w:divBdr>
    </w:div>
    <w:div w:id="623804224">
      <w:bodyDiv w:val="1"/>
      <w:marLeft w:val="0"/>
      <w:marRight w:val="0"/>
      <w:marTop w:val="0"/>
      <w:marBottom w:val="0"/>
      <w:divBdr>
        <w:top w:val="none" w:sz="0" w:space="0" w:color="auto"/>
        <w:left w:val="none" w:sz="0" w:space="0" w:color="auto"/>
        <w:bottom w:val="none" w:sz="0" w:space="0" w:color="auto"/>
        <w:right w:val="none" w:sz="0" w:space="0" w:color="auto"/>
      </w:divBdr>
    </w:div>
    <w:div w:id="648170970">
      <w:bodyDiv w:val="1"/>
      <w:marLeft w:val="0"/>
      <w:marRight w:val="0"/>
      <w:marTop w:val="0"/>
      <w:marBottom w:val="0"/>
      <w:divBdr>
        <w:top w:val="none" w:sz="0" w:space="0" w:color="auto"/>
        <w:left w:val="none" w:sz="0" w:space="0" w:color="auto"/>
        <w:bottom w:val="none" w:sz="0" w:space="0" w:color="auto"/>
        <w:right w:val="none" w:sz="0" w:space="0" w:color="auto"/>
      </w:divBdr>
    </w:div>
    <w:div w:id="652179413">
      <w:bodyDiv w:val="1"/>
      <w:marLeft w:val="0"/>
      <w:marRight w:val="0"/>
      <w:marTop w:val="0"/>
      <w:marBottom w:val="0"/>
      <w:divBdr>
        <w:top w:val="none" w:sz="0" w:space="0" w:color="auto"/>
        <w:left w:val="none" w:sz="0" w:space="0" w:color="auto"/>
        <w:bottom w:val="none" w:sz="0" w:space="0" w:color="auto"/>
        <w:right w:val="none" w:sz="0" w:space="0" w:color="auto"/>
      </w:divBdr>
    </w:div>
    <w:div w:id="679354386">
      <w:bodyDiv w:val="1"/>
      <w:marLeft w:val="0"/>
      <w:marRight w:val="0"/>
      <w:marTop w:val="0"/>
      <w:marBottom w:val="0"/>
      <w:divBdr>
        <w:top w:val="none" w:sz="0" w:space="0" w:color="auto"/>
        <w:left w:val="none" w:sz="0" w:space="0" w:color="auto"/>
        <w:bottom w:val="none" w:sz="0" w:space="0" w:color="auto"/>
        <w:right w:val="none" w:sz="0" w:space="0" w:color="auto"/>
      </w:divBdr>
    </w:div>
    <w:div w:id="737630523">
      <w:bodyDiv w:val="1"/>
      <w:marLeft w:val="0"/>
      <w:marRight w:val="0"/>
      <w:marTop w:val="0"/>
      <w:marBottom w:val="0"/>
      <w:divBdr>
        <w:top w:val="none" w:sz="0" w:space="0" w:color="auto"/>
        <w:left w:val="none" w:sz="0" w:space="0" w:color="auto"/>
        <w:bottom w:val="none" w:sz="0" w:space="0" w:color="auto"/>
        <w:right w:val="none" w:sz="0" w:space="0" w:color="auto"/>
      </w:divBdr>
    </w:div>
    <w:div w:id="791707577">
      <w:bodyDiv w:val="1"/>
      <w:marLeft w:val="0"/>
      <w:marRight w:val="0"/>
      <w:marTop w:val="0"/>
      <w:marBottom w:val="0"/>
      <w:divBdr>
        <w:top w:val="none" w:sz="0" w:space="0" w:color="auto"/>
        <w:left w:val="none" w:sz="0" w:space="0" w:color="auto"/>
        <w:bottom w:val="none" w:sz="0" w:space="0" w:color="auto"/>
        <w:right w:val="none" w:sz="0" w:space="0" w:color="auto"/>
      </w:divBdr>
    </w:div>
    <w:div w:id="918564477">
      <w:bodyDiv w:val="1"/>
      <w:marLeft w:val="0"/>
      <w:marRight w:val="0"/>
      <w:marTop w:val="0"/>
      <w:marBottom w:val="0"/>
      <w:divBdr>
        <w:top w:val="none" w:sz="0" w:space="0" w:color="auto"/>
        <w:left w:val="none" w:sz="0" w:space="0" w:color="auto"/>
        <w:bottom w:val="none" w:sz="0" w:space="0" w:color="auto"/>
        <w:right w:val="none" w:sz="0" w:space="0" w:color="auto"/>
      </w:divBdr>
    </w:div>
    <w:div w:id="930546843">
      <w:bodyDiv w:val="1"/>
      <w:marLeft w:val="0"/>
      <w:marRight w:val="0"/>
      <w:marTop w:val="0"/>
      <w:marBottom w:val="0"/>
      <w:divBdr>
        <w:top w:val="none" w:sz="0" w:space="0" w:color="auto"/>
        <w:left w:val="none" w:sz="0" w:space="0" w:color="auto"/>
        <w:bottom w:val="none" w:sz="0" w:space="0" w:color="auto"/>
        <w:right w:val="none" w:sz="0" w:space="0" w:color="auto"/>
      </w:divBdr>
    </w:div>
    <w:div w:id="968587043">
      <w:bodyDiv w:val="1"/>
      <w:marLeft w:val="0"/>
      <w:marRight w:val="0"/>
      <w:marTop w:val="0"/>
      <w:marBottom w:val="0"/>
      <w:divBdr>
        <w:top w:val="none" w:sz="0" w:space="0" w:color="auto"/>
        <w:left w:val="none" w:sz="0" w:space="0" w:color="auto"/>
        <w:bottom w:val="none" w:sz="0" w:space="0" w:color="auto"/>
        <w:right w:val="none" w:sz="0" w:space="0" w:color="auto"/>
      </w:divBdr>
    </w:div>
    <w:div w:id="1044256493">
      <w:bodyDiv w:val="1"/>
      <w:marLeft w:val="0"/>
      <w:marRight w:val="0"/>
      <w:marTop w:val="0"/>
      <w:marBottom w:val="0"/>
      <w:divBdr>
        <w:top w:val="none" w:sz="0" w:space="0" w:color="auto"/>
        <w:left w:val="none" w:sz="0" w:space="0" w:color="auto"/>
        <w:bottom w:val="none" w:sz="0" w:space="0" w:color="auto"/>
        <w:right w:val="none" w:sz="0" w:space="0" w:color="auto"/>
      </w:divBdr>
    </w:div>
    <w:div w:id="1051148731">
      <w:bodyDiv w:val="1"/>
      <w:marLeft w:val="0"/>
      <w:marRight w:val="0"/>
      <w:marTop w:val="0"/>
      <w:marBottom w:val="0"/>
      <w:divBdr>
        <w:top w:val="none" w:sz="0" w:space="0" w:color="auto"/>
        <w:left w:val="none" w:sz="0" w:space="0" w:color="auto"/>
        <w:bottom w:val="none" w:sz="0" w:space="0" w:color="auto"/>
        <w:right w:val="none" w:sz="0" w:space="0" w:color="auto"/>
      </w:divBdr>
    </w:div>
    <w:div w:id="1064184060">
      <w:bodyDiv w:val="1"/>
      <w:marLeft w:val="0"/>
      <w:marRight w:val="0"/>
      <w:marTop w:val="0"/>
      <w:marBottom w:val="0"/>
      <w:divBdr>
        <w:top w:val="none" w:sz="0" w:space="0" w:color="auto"/>
        <w:left w:val="none" w:sz="0" w:space="0" w:color="auto"/>
        <w:bottom w:val="none" w:sz="0" w:space="0" w:color="auto"/>
        <w:right w:val="none" w:sz="0" w:space="0" w:color="auto"/>
      </w:divBdr>
    </w:div>
    <w:div w:id="1074206846">
      <w:bodyDiv w:val="1"/>
      <w:marLeft w:val="0"/>
      <w:marRight w:val="0"/>
      <w:marTop w:val="0"/>
      <w:marBottom w:val="0"/>
      <w:divBdr>
        <w:top w:val="none" w:sz="0" w:space="0" w:color="auto"/>
        <w:left w:val="none" w:sz="0" w:space="0" w:color="auto"/>
        <w:bottom w:val="none" w:sz="0" w:space="0" w:color="auto"/>
        <w:right w:val="none" w:sz="0" w:space="0" w:color="auto"/>
      </w:divBdr>
    </w:div>
    <w:div w:id="1194884134">
      <w:bodyDiv w:val="1"/>
      <w:marLeft w:val="0"/>
      <w:marRight w:val="0"/>
      <w:marTop w:val="0"/>
      <w:marBottom w:val="0"/>
      <w:divBdr>
        <w:top w:val="none" w:sz="0" w:space="0" w:color="auto"/>
        <w:left w:val="none" w:sz="0" w:space="0" w:color="auto"/>
        <w:bottom w:val="none" w:sz="0" w:space="0" w:color="auto"/>
        <w:right w:val="none" w:sz="0" w:space="0" w:color="auto"/>
      </w:divBdr>
    </w:div>
    <w:div w:id="1195659054">
      <w:bodyDiv w:val="1"/>
      <w:marLeft w:val="0"/>
      <w:marRight w:val="0"/>
      <w:marTop w:val="0"/>
      <w:marBottom w:val="0"/>
      <w:divBdr>
        <w:top w:val="none" w:sz="0" w:space="0" w:color="auto"/>
        <w:left w:val="none" w:sz="0" w:space="0" w:color="auto"/>
        <w:bottom w:val="none" w:sz="0" w:space="0" w:color="auto"/>
        <w:right w:val="none" w:sz="0" w:space="0" w:color="auto"/>
      </w:divBdr>
    </w:div>
    <w:div w:id="1226140355">
      <w:bodyDiv w:val="1"/>
      <w:marLeft w:val="0"/>
      <w:marRight w:val="0"/>
      <w:marTop w:val="0"/>
      <w:marBottom w:val="0"/>
      <w:divBdr>
        <w:top w:val="none" w:sz="0" w:space="0" w:color="auto"/>
        <w:left w:val="none" w:sz="0" w:space="0" w:color="auto"/>
        <w:bottom w:val="none" w:sz="0" w:space="0" w:color="auto"/>
        <w:right w:val="none" w:sz="0" w:space="0" w:color="auto"/>
      </w:divBdr>
    </w:div>
    <w:div w:id="1243028891">
      <w:bodyDiv w:val="1"/>
      <w:marLeft w:val="0"/>
      <w:marRight w:val="0"/>
      <w:marTop w:val="0"/>
      <w:marBottom w:val="0"/>
      <w:divBdr>
        <w:top w:val="none" w:sz="0" w:space="0" w:color="auto"/>
        <w:left w:val="none" w:sz="0" w:space="0" w:color="auto"/>
        <w:bottom w:val="none" w:sz="0" w:space="0" w:color="auto"/>
        <w:right w:val="none" w:sz="0" w:space="0" w:color="auto"/>
      </w:divBdr>
    </w:div>
    <w:div w:id="1244292650">
      <w:bodyDiv w:val="1"/>
      <w:marLeft w:val="0"/>
      <w:marRight w:val="0"/>
      <w:marTop w:val="0"/>
      <w:marBottom w:val="0"/>
      <w:divBdr>
        <w:top w:val="none" w:sz="0" w:space="0" w:color="auto"/>
        <w:left w:val="none" w:sz="0" w:space="0" w:color="auto"/>
        <w:bottom w:val="none" w:sz="0" w:space="0" w:color="auto"/>
        <w:right w:val="none" w:sz="0" w:space="0" w:color="auto"/>
      </w:divBdr>
    </w:div>
    <w:div w:id="1256672427">
      <w:bodyDiv w:val="1"/>
      <w:marLeft w:val="0"/>
      <w:marRight w:val="0"/>
      <w:marTop w:val="0"/>
      <w:marBottom w:val="0"/>
      <w:divBdr>
        <w:top w:val="none" w:sz="0" w:space="0" w:color="auto"/>
        <w:left w:val="none" w:sz="0" w:space="0" w:color="auto"/>
        <w:bottom w:val="none" w:sz="0" w:space="0" w:color="auto"/>
        <w:right w:val="none" w:sz="0" w:space="0" w:color="auto"/>
      </w:divBdr>
    </w:div>
    <w:div w:id="1307660699">
      <w:bodyDiv w:val="1"/>
      <w:marLeft w:val="0"/>
      <w:marRight w:val="0"/>
      <w:marTop w:val="0"/>
      <w:marBottom w:val="0"/>
      <w:divBdr>
        <w:top w:val="none" w:sz="0" w:space="0" w:color="auto"/>
        <w:left w:val="none" w:sz="0" w:space="0" w:color="auto"/>
        <w:bottom w:val="none" w:sz="0" w:space="0" w:color="auto"/>
        <w:right w:val="none" w:sz="0" w:space="0" w:color="auto"/>
      </w:divBdr>
    </w:div>
    <w:div w:id="1328437311">
      <w:bodyDiv w:val="1"/>
      <w:marLeft w:val="0"/>
      <w:marRight w:val="0"/>
      <w:marTop w:val="0"/>
      <w:marBottom w:val="0"/>
      <w:divBdr>
        <w:top w:val="none" w:sz="0" w:space="0" w:color="auto"/>
        <w:left w:val="none" w:sz="0" w:space="0" w:color="auto"/>
        <w:bottom w:val="none" w:sz="0" w:space="0" w:color="auto"/>
        <w:right w:val="none" w:sz="0" w:space="0" w:color="auto"/>
      </w:divBdr>
    </w:div>
    <w:div w:id="1362053225">
      <w:bodyDiv w:val="1"/>
      <w:marLeft w:val="0"/>
      <w:marRight w:val="0"/>
      <w:marTop w:val="0"/>
      <w:marBottom w:val="0"/>
      <w:divBdr>
        <w:top w:val="none" w:sz="0" w:space="0" w:color="auto"/>
        <w:left w:val="none" w:sz="0" w:space="0" w:color="auto"/>
        <w:bottom w:val="none" w:sz="0" w:space="0" w:color="auto"/>
        <w:right w:val="none" w:sz="0" w:space="0" w:color="auto"/>
      </w:divBdr>
    </w:div>
    <w:div w:id="1364745529">
      <w:bodyDiv w:val="1"/>
      <w:marLeft w:val="0"/>
      <w:marRight w:val="0"/>
      <w:marTop w:val="0"/>
      <w:marBottom w:val="0"/>
      <w:divBdr>
        <w:top w:val="none" w:sz="0" w:space="0" w:color="auto"/>
        <w:left w:val="none" w:sz="0" w:space="0" w:color="auto"/>
        <w:bottom w:val="none" w:sz="0" w:space="0" w:color="auto"/>
        <w:right w:val="none" w:sz="0" w:space="0" w:color="auto"/>
      </w:divBdr>
    </w:div>
    <w:div w:id="1380979080">
      <w:bodyDiv w:val="1"/>
      <w:marLeft w:val="0"/>
      <w:marRight w:val="0"/>
      <w:marTop w:val="0"/>
      <w:marBottom w:val="0"/>
      <w:divBdr>
        <w:top w:val="none" w:sz="0" w:space="0" w:color="auto"/>
        <w:left w:val="none" w:sz="0" w:space="0" w:color="auto"/>
        <w:bottom w:val="none" w:sz="0" w:space="0" w:color="auto"/>
        <w:right w:val="none" w:sz="0" w:space="0" w:color="auto"/>
      </w:divBdr>
    </w:div>
    <w:div w:id="1386105759">
      <w:bodyDiv w:val="1"/>
      <w:marLeft w:val="0"/>
      <w:marRight w:val="0"/>
      <w:marTop w:val="0"/>
      <w:marBottom w:val="0"/>
      <w:divBdr>
        <w:top w:val="none" w:sz="0" w:space="0" w:color="auto"/>
        <w:left w:val="none" w:sz="0" w:space="0" w:color="auto"/>
        <w:bottom w:val="none" w:sz="0" w:space="0" w:color="auto"/>
        <w:right w:val="none" w:sz="0" w:space="0" w:color="auto"/>
      </w:divBdr>
    </w:div>
    <w:div w:id="1403063372">
      <w:bodyDiv w:val="1"/>
      <w:marLeft w:val="0"/>
      <w:marRight w:val="0"/>
      <w:marTop w:val="0"/>
      <w:marBottom w:val="0"/>
      <w:divBdr>
        <w:top w:val="none" w:sz="0" w:space="0" w:color="auto"/>
        <w:left w:val="none" w:sz="0" w:space="0" w:color="auto"/>
        <w:bottom w:val="none" w:sz="0" w:space="0" w:color="auto"/>
        <w:right w:val="none" w:sz="0" w:space="0" w:color="auto"/>
      </w:divBdr>
    </w:div>
    <w:div w:id="1415780698">
      <w:bodyDiv w:val="1"/>
      <w:marLeft w:val="0"/>
      <w:marRight w:val="0"/>
      <w:marTop w:val="0"/>
      <w:marBottom w:val="0"/>
      <w:divBdr>
        <w:top w:val="none" w:sz="0" w:space="0" w:color="auto"/>
        <w:left w:val="none" w:sz="0" w:space="0" w:color="auto"/>
        <w:bottom w:val="none" w:sz="0" w:space="0" w:color="auto"/>
        <w:right w:val="none" w:sz="0" w:space="0" w:color="auto"/>
      </w:divBdr>
    </w:div>
    <w:div w:id="1419520835">
      <w:bodyDiv w:val="1"/>
      <w:marLeft w:val="0"/>
      <w:marRight w:val="0"/>
      <w:marTop w:val="0"/>
      <w:marBottom w:val="0"/>
      <w:divBdr>
        <w:top w:val="none" w:sz="0" w:space="0" w:color="auto"/>
        <w:left w:val="none" w:sz="0" w:space="0" w:color="auto"/>
        <w:bottom w:val="none" w:sz="0" w:space="0" w:color="auto"/>
        <w:right w:val="none" w:sz="0" w:space="0" w:color="auto"/>
      </w:divBdr>
    </w:div>
    <w:div w:id="1460495354">
      <w:bodyDiv w:val="1"/>
      <w:marLeft w:val="0"/>
      <w:marRight w:val="0"/>
      <w:marTop w:val="0"/>
      <w:marBottom w:val="0"/>
      <w:divBdr>
        <w:top w:val="none" w:sz="0" w:space="0" w:color="auto"/>
        <w:left w:val="none" w:sz="0" w:space="0" w:color="auto"/>
        <w:bottom w:val="none" w:sz="0" w:space="0" w:color="auto"/>
        <w:right w:val="none" w:sz="0" w:space="0" w:color="auto"/>
      </w:divBdr>
    </w:div>
    <w:div w:id="1511600867">
      <w:bodyDiv w:val="1"/>
      <w:marLeft w:val="0"/>
      <w:marRight w:val="0"/>
      <w:marTop w:val="0"/>
      <w:marBottom w:val="0"/>
      <w:divBdr>
        <w:top w:val="none" w:sz="0" w:space="0" w:color="auto"/>
        <w:left w:val="none" w:sz="0" w:space="0" w:color="auto"/>
        <w:bottom w:val="none" w:sz="0" w:space="0" w:color="auto"/>
        <w:right w:val="none" w:sz="0" w:space="0" w:color="auto"/>
      </w:divBdr>
    </w:div>
    <w:div w:id="1537229494">
      <w:bodyDiv w:val="1"/>
      <w:marLeft w:val="0"/>
      <w:marRight w:val="0"/>
      <w:marTop w:val="0"/>
      <w:marBottom w:val="0"/>
      <w:divBdr>
        <w:top w:val="none" w:sz="0" w:space="0" w:color="auto"/>
        <w:left w:val="none" w:sz="0" w:space="0" w:color="auto"/>
        <w:bottom w:val="none" w:sz="0" w:space="0" w:color="auto"/>
        <w:right w:val="none" w:sz="0" w:space="0" w:color="auto"/>
      </w:divBdr>
    </w:div>
    <w:div w:id="1584102104">
      <w:bodyDiv w:val="1"/>
      <w:marLeft w:val="0"/>
      <w:marRight w:val="0"/>
      <w:marTop w:val="0"/>
      <w:marBottom w:val="0"/>
      <w:divBdr>
        <w:top w:val="none" w:sz="0" w:space="0" w:color="auto"/>
        <w:left w:val="none" w:sz="0" w:space="0" w:color="auto"/>
        <w:bottom w:val="none" w:sz="0" w:space="0" w:color="auto"/>
        <w:right w:val="none" w:sz="0" w:space="0" w:color="auto"/>
      </w:divBdr>
    </w:div>
    <w:div w:id="1587883844">
      <w:bodyDiv w:val="1"/>
      <w:marLeft w:val="0"/>
      <w:marRight w:val="0"/>
      <w:marTop w:val="0"/>
      <w:marBottom w:val="0"/>
      <w:divBdr>
        <w:top w:val="none" w:sz="0" w:space="0" w:color="auto"/>
        <w:left w:val="none" w:sz="0" w:space="0" w:color="auto"/>
        <w:bottom w:val="none" w:sz="0" w:space="0" w:color="auto"/>
        <w:right w:val="none" w:sz="0" w:space="0" w:color="auto"/>
      </w:divBdr>
    </w:div>
    <w:div w:id="1640332983">
      <w:bodyDiv w:val="1"/>
      <w:marLeft w:val="0"/>
      <w:marRight w:val="0"/>
      <w:marTop w:val="0"/>
      <w:marBottom w:val="0"/>
      <w:divBdr>
        <w:top w:val="none" w:sz="0" w:space="0" w:color="auto"/>
        <w:left w:val="none" w:sz="0" w:space="0" w:color="auto"/>
        <w:bottom w:val="none" w:sz="0" w:space="0" w:color="auto"/>
        <w:right w:val="none" w:sz="0" w:space="0" w:color="auto"/>
      </w:divBdr>
    </w:div>
    <w:div w:id="1683897035">
      <w:bodyDiv w:val="1"/>
      <w:marLeft w:val="0"/>
      <w:marRight w:val="0"/>
      <w:marTop w:val="0"/>
      <w:marBottom w:val="0"/>
      <w:divBdr>
        <w:top w:val="none" w:sz="0" w:space="0" w:color="auto"/>
        <w:left w:val="none" w:sz="0" w:space="0" w:color="auto"/>
        <w:bottom w:val="none" w:sz="0" w:space="0" w:color="auto"/>
        <w:right w:val="none" w:sz="0" w:space="0" w:color="auto"/>
      </w:divBdr>
    </w:div>
    <w:div w:id="1802578133">
      <w:bodyDiv w:val="1"/>
      <w:marLeft w:val="0"/>
      <w:marRight w:val="0"/>
      <w:marTop w:val="0"/>
      <w:marBottom w:val="0"/>
      <w:divBdr>
        <w:top w:val="none" w:sz="0" w:space="0" w:color="auto"/>
        <w:left w:val="none" w:sz="0" w:space="0" w:color="auto"/>
        <w:bottom w:val="none" w:sz="0" w:space="0" w:color="auto"/>
        <w:right w:val="none" w:sz="0" w:space="0" w:color="auto"/>
      </w:divBdr>
    </w:div>
    <w:div w:id="1804155153">
      <w:bodyDiv w:val="1"/>
      <w:marLeft w:val="0"/>
      <w:marRight w:val="0"/>
      <w:marTop w:val="0"/>
      <w:marBottom w:val="0"/>
      <w:divBdr>
        <w:top w:val="none" w:sz="0" w:space="0" w:color="auto"/>
        <w:left w:val="none" w:sz="0" w:space="0" w:color="auto"/>
        <w:bottom w:val="none" w:sz="0" w:space="0" w:color="auto"/>
        <w:right w:val="none" w:sz="0" w:space="0" w:color="auto"/>
      </w:divBdr>
    </w:div>
    <w:div w:id="1839879348">
      <w:bodyDiv w:val="1"/>
      <w:marLeft w:val="0"/>
      <w:marRight w:val="0"/>
      <w:marTop w:val="0"/>
      <w:marBottom w:val="0"/>
      <w:divBdr>
        <w:top w:val="none" w:sz="0" w:space="0" w:color="auto"/>
        <w:left w:val="none" w:sz="0" w:space="0" w:color="auto"/>
        <w:bottom w:val="none" w:sz="0" w:space="0" w:color="auto"/>
        <w:right w:val="none" w:sz="0" w:space="0" w:color="auto"/>
      </w:divBdr>
    </w:div>
    <w:div w:id="1908608269">
      <w:bodyDiv w:val="1"/>
      <w:marLeft w:val="0"/>
      <w:marRight w:val="0"/>
      <w:marTop w:val="0"/>
      <w:marBottom w:val="0"/>
      <w:divBdr>
        <w:top w:val="none" w:sz="0" w:space="0" w:color="auto"/>
        <w:left w:val="none" w:sz="0" w:space="0" w:color="auto"/>
        <w:bottom w:val="none" w:sz="0" w:space="0" w:color="auto"/>
        <w:right w:val="none" w:sz="0" w:space="0" w:color="auto"/>
      </w:divBdr>
    </w:div>
    <w:div w:id="1922134150">
      <w:bodyDiv w:val="1"/>
      <w:marLeft w:val="0"/>
      <w:marRight w:val="0"/>
      <w:marTop w:val="0"/>
      <w:marBottom w:val="0"/>
      <w:divBdr>
        <w:top w:val="none" w:sz="0" w:space="0" w:color="auto"/>
        <w:left w:val="none" w:sz="0" w:space="0" w:color="auto"/>
        <w:bottom w:val="none" w:sz="0" w:space="0" w:color="auto"/>
        <w:right w:val="none" w:sz="0" w:space="0" w:color="auto"/>
      </w:divBdr>
    </w:div>
    <w:div w:id="1937211027">
      <w:bodyDiv w:val="1"/>
      <w:marLeft w:val="0"/>
      <w:marRight w:val="0"/>
      <w:marTop w:val="0"/>
      <w:marBottom w:val="0"/>
      <w:divBdr>
        <w:top w:val="none" w:sz="0" w:space="0" w:color="auto"/>
        <w:left w:val="none" w:sz="0" w:space="0" w:color="auto"/>
        <w:bottom w:val="none" w:sz="0" w:space="0" w:color="auto"/>
        <w:right w:val="none" w:sz="0" w:space="0" w:color="auto"/>
      </w:divBdr>
    </w:div>
    <w:div w:id="1970625831">
      <w:bodyDiv w:val="1"/>
      <w:marLeft w:val="0"/>
      <w:marRight w:val="0"/>
      <w:marTop w:val="0"/>
      <w:marBottom w:val="0"/>
      <w:divBdr>
        <w:top w:val="none" w:sz="0" w:space="0" w:color="auto"/>
        <w:left w:val="none" w:sz="0" w:space="0" w:color="auto"/>
        <w:bottom w:val="none" w:sz="0" w:space="0" w:color="auto"/>
        <w:right w:val="none" w:sz="0" w:space="0" w:color="auto"/>
      </w:divBdr>
    </w:div>
    <w:div w:id="1972514682">
      <w:bodyDiv w:val="1"/>
      <w:marLeft w:val="0"/>
      <w:marRight w:val="0"/>
      <w:marTop w:val="0"/>
      <w:marBottom w:val="0"/>
      <w:divBdr>
        <w:top w:val="none" w:sz="0" w:space="0" w:color="auto"/>
        <w:left w:val="none" w:sz="0" w:space="0" w:color="auto"/>
        <w:bottom w:val="none" w:sz="0" w:space="0" w:color="auto"/>
        <w:right w:val="none" w:sz="0" w:space="0" w:color="auto"/>
      </w:divBdr>
    </w:div>
    <w:div w:id="1973241672">
      <w:bodyDiv w:val="1"/>
      <w:marLeft w:val="0"/>
      <w:marRight w:val="0"/>
      <w:marTop w:val="0"/>
      <w:marBottom w:val="0"/>
      <w:divBdr>
        <w:top w:val="none" w:sz="0" w:space="0" w:color="auto"/>
        <w:left w:val="none" w:sz="0" w:space="0" w:color="auto"/>
        <w:bottom w:val="none" w:sz="0" w:space="0" w:color="auto"/>
        <w:right w:val="none" w:sz="0" w:space="0" w:color="auto"/>
      </w:divBdr>
    </w:div>
    <w:div w:id="1998071834">
      <w:bodyDiv w:val="1"/>
      <w:marLeft w:val="0"/>
      <w:marRight w:val="0"/>
      <w:marTop w:val="0"/>
      <w:marBottom w:val="0"/>
      <w:divBdr>
        <w:top w:val="none" w:sz="0" w:space="0" w:color="auto"/>
        <w:left w:val="none" w:sz="0" w:space="0" w:color="auto"/>
        <w:bottom w:val="none" w:sz="0" w:space="0" w:color="auto"/>
        <w:right w:val="none" w:sz="0" w:space="0" w:color="auto"/>
      </w:divBdr>
    </w:div>
    <w:div w:id="20997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mailto:forecasting@magnaglobal.com" TargetMode="External"/><Relationship Id="rId15" Type="http://schemas.openxmlformats.org/officeDocument/2006/relationships/hyperlink" Target="mailto:Andrea.Cardenal@mbww.com" TargetMode="Externa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69BA-25AB-5A43-B5C3-CF61E08B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9649</Words>
  <Characters>55004</Characters>
  <Application>Microsoft Macintosh Word</Application>
  <DocSecurity>0</DocSecurity>
  <Lines>458</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64524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Vincent (NYC-MGL)</dc:creator>
  <cp:keywords/>
  <cp:lastModifiedBy>Andrea Cardenal</cp:lastModifiedBy>
  <cp:revision>4</cp:revision>
  <cp:lastPrinted>2017-11-29T23:48:00Z</cp:lastPrinted>
  <dcterms:created xsi:type="dcterms:W3CDTF">2017-12-04T01:35:00Z</dcterms:created>
  <dcterms:modified xsi:type="dcterms:W3CDTF">2017-12-04T13:10:00Z</dcterms:modified>
</cp:coreProperties>
</file>